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智能纪要：41、M：专业好，对口就业最关键 2026年1月22日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会议主题：41、M：专业好，对口就业最关键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上传时间：1月22号（周四） 22:24 （GMT+08）</w:t>
            </w:r>
          </w:p>
        </w:tc>
      </w:tr>
    </w:tbl>
    <w:p/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智能纪要由 AI 生成，可能不准确，请谨慎甄别后使用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总结</w:t>
      </w:r>
      <w:bookmarkEnd w:id="0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36232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本次会议围绕如何评价学校专业好坏展开讨论，探讨了多种评价方式，分析了师资与就业在专业选择中的权衡问题，内容如下：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专业评价方式探讨</w:t>
      </w:r>
    </w:p>
    <w:tbl>
      <w:tblPr>
        <w:tblW w:w="0" w:type="auto"/>
        <w:tblInd w:w="453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4554"/>
        <w:gridCol w:w="3726"/>
      </w:tblGrid>
      <w:tr>
        <w:tc>
          <w:tcPr>
            <w:tcW w:w="4554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专业排名参考</w:t>
            </w:r>
            <w:r>
              <w:rPr>
                <w:rFonts w:eastAsia="等线" w:ascii="Arial" w:cs="Arial" w:hAnsi="Arial"/>
                <w:sz w:val="22"/>
              </w:rPr>
              <w:t>：说话人 2 提出评价专业可根据三年内全国专业排名，这是一种常见的评价方法。</w:t>
            </w:r>
          </w:p>
          <w:p>
            <w:pPr>
              <w:numPr>
                <w:numId w:val="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师资情况考量</w:t>
            </w:r>
          </w:p>
          <w:p>
            <w:pPr>
              <w:numPr>
                <w:numId w:val="4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师承评价：说话人 1 认为评价师资可看师承，即教授毕业院校和导师情况，个体影响在硕博阶段可能大于学校影响，如自己因美国导师厉害顺利进入哈工大。</w:t>
            </w:r>
          </w:p>
          <w:p>
            <w:pPr>
              <w:numPr>
                <w:numId w:val="5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学术论文评价：还可看教授发表的学术论文是否为领域顶尖，以陈春花为例，她在组织行为学领域未发表顶尖论文《organization science》。</w:t>
            </w:r>
          </w:p>
        </w:tc>
        <w:tc>
          <w:tcPr>
            <w:tcW w:w="3726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2209800" cy="1028700"/>
                  <wp:docPr id="1" name="Drawing 1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98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8F959E"/>
                <w:sz w:val="22"/>
              </w:rPr>
              <w:t>专业评价方式对比</w:t>
              <w:br/>
            </w:r>
          </w:p>
        </w:tc>
      </w:tr>
    </w:tbl>
    <w:p>
      <w:pPr>
        <w:numPr>
          <w:numId w:val="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学校相关指标</w:t>
      </w:r>
    </w:p>
    <w:p>
      <w:pPr>
        <w:numPr>
          <w:numId w:val="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双一流专业：可看学校专业是否为双一流专业，但此类专业数量较少。</w:t>
      </w:r>
    </w:p>
    <w:p>
      <w:pPr>
        <w:numPr>
          <w:numId w:val="8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硕士博士点：多数无双一流标签的专业，有硕士、博士点意味着师资不错。</w:t>
      </w:r>
    </w:p>
    <w:p>
      <w:pPr>
        <w:numPr>
          <w:numId w:val="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就业情况关注</w:t>
      </w:r>
      <w:r>
        <w:rPr>
          <w:rFonts w:eastAsia="等线" w:ascii="Arial" w:cs="Arial" w:hAnsi="Arial"/>
          <w:sz w:val="22"/>
        </w:rPr>
        <w:t>：多数家长送孩子高中升本科目的是就业，但学校一般不会主动告知就业情况，说话人 1 就曾因校领导的话选择华中科技大学光电专业，结果就业薪资差。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师资与就业的权衡</w:t>
      </w:r>
    </w:p>
    <w:p>
      <w:pPr>
        <w:numPr>
          <w:numId w:val="1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两难选择</w:t>
      </w:r>
      <w:r>
        <w:rPr>
          <w:rFonts w:eastAsia="等线" w:ascii="Arial" w:cs="Arial" w:hAnsi="Arial"/>
          <w:sz w:val="22"/>
        </w:rPr>
        <w:t>：在评价专业时，常需在师资好和就业好之间做权衡。说话人 1 举例兰州大学师资不错，但人们更关心就业。</w:t>
      </w:r>
    </w:p>
    <w:p>
      <w:pPr>
        <w:numPr>
          <w:numId w:val="1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多数人倾向</w:t>
      </w:r>
      <w:r>
        <w:rPr>
          <w:rFonts w:eastAsia="等线" w:ascii="Arial" w:cs="Arial" w:hAnsi="Arial"/>
          <w:sz w:val="22"/>
        </w:rPr>
        <w:t>：通过现场二选一投票，多数人选择就业好但师资不行的学校，表明大家在选择专业时较为现实，更看重就业。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智能章节</w:t>
      </w:r>
      <w:bookmarkEnd w:id="1"/>
    </w:p>
    <w:p>
      <w:pPr>
        <w:spacing w:before="120" w:after="120" w:line="288" w:lineRule="auto"/>
        <w:ind w:left="0"/>
        <w:jc w:val="left"/>
      </w:pPr>
      <w:hyperlink r:id="rId7">
        <w:r>
          <w:rPr>
            <w:rFonts w:eastAsia="等线" w:ascii="Arial" w:cs="Arial" w:hAnsi="Arial"/>
            <w:color w:val="3370ff"/>
            <w:sz w:val="22"/>
          </w:rPr>
          <w:t>00:02</w:t>
        </w:r>
      </w:hyperlink>
      <w:r>
        <w:rPr>
          <w:rFonts w:eastAsia="等线" w:ascii="Arial" w:cs="Arial" w:hAnsi="Arial"/>
          <w:b w:val="true"/>
          <w:sz w:val="22"/>
        </w:rPr>
        <w:t xml:space="preserve">  探讨评价学校专业好坏的方法与考量因素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讨论了升学环境中如何评价专业好坏的问题。说话人1多次询问评价专业的方法，说话人2提出依据三年内专业在全国的排名来评价。说话人1还提及师资教授也是一种考量方式，指出读研、读博时会这样选，也询问高中升大学时是否会考虑师资，得知有人看过，认为这种做法较为先进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8">
        <w:r>
          <w:rPr>
            <w:rFonts w:eastAsia="等线" w:ascii="Arial" w:cs="Arial" w:hAnsi="Arial"/>
            <w:color w:val="3370ff"/>
            <w:sz w:val="22"/>
          </w:rPr>
          <w:t>01:11</w:t>
        </w:r>
      </w:hyperlink>
      <w:r>
        <w:rPr>
          <w:rFonts w:eastAsia="等线" w:ascii="Arial" w:cs="Arial" w:hAnsi="Arial"/>
          <w:b w:val="true"/>
          <w:sz w:val="22"/>
        </w:rPr>
        <w:t xml:space="preserve">  评价师资的方法及陈春花学术能力探讨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强调读硕士和博士时师资必看，以陈春花学历爆雷为例引出专业能力评价问题。评价师资有两种方式，一是看师承，即教授毕业学校和导师，师承影响大；二是看其在领域内是否发表顶尖学术论文。还指出普通人难以像大学那样专业地评价师资和专业好坏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9">
        <w:r>
          <w:rPr>
            <w:rFonts w:eastAsia="等线" w:ascii="Arial" w:cs="Arial" w:hAnsi="Arial"/>
            <w:color w:val="3370ff"/>
            <w:sz w:val="22"/>
          </w:rPr>
          <w:t>04:35</w:t>
        </w:r>
      </w:hyperlink>
      <w:r>
        <w:rPr>
          <w:rFonts w:eastAsia="等线" w:ascii="Arial" w:cs="Arial" w:hAnsi="Arial"/>
          <w:b w:val="true"/>
          <w:sz w:val="22"/>
        </w:rPr>
        <w:t xml:space="preserve">  高中升本科选校：师资与就业的权衡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围绕高中升大学送孩子上学的目的展开讨论，指出大多是为就业而非学术。还提到评价专业常看是否双一流、有无硕博点，但师资好未必就业好。通过兰州大学说明师资情况，并让大家在师资好但就业差和就业好但师资差中做选择，多数选就业好的。最后以自身经历表明学校很少提供就业信息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关键决策</w:t>
      </w:r>
      <w:bookmarkEnd w:id="2"/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关键决策</w:t>
      </w:r>
      <w:r>
        <w:rPr>
          <w:rFonts w:eastAsia="等线" w:ascii="Arial" w:cs="Arial" w:hAnsi="Arial"/>
          <w:sz w:val="22"/>
        </w:rPr>
        <w:t>：评价专业时，在师资好但就业差和就业好但师资差的选项中，多数人倾向选择就业好的。</w:t>
      </w:r>
    </w:p>
    <w:p>
      <w:pPr>
        <w:numPr>
          <w:numId w:val="1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问题</w:t>
      </w:r>
      <w:r>
        <w:rPr>
          <w:rFonts w:eastAsia="等线" w:ascii="Arial" w:cs="Arial" w:hAnsi="Arial"/>
          <w:sz w:val="22"/>
        </w:rPr>
        <w:t>：如何评价一个学校专业好不好，以及在师资和就业之间如何权衡。</w:t>
      </w:r>
    </w:p>
    <w:p>
      <w:pPr>
        <w:numPr>
          <w:numId w:val="1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讨论方案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说话人2提出根据三年内专业全国排名评价专业。</w:t>
      </w:r>
    </w:p>
    <w:p>
      <w:pPr>
        <w:numPr>
          <w:numId w:val="1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说话人1提出看师资，评价师资分为看师承和所发学术论文是否为领域顶尖两种方式。</w:t>
      </w:r>
    </w:p>
    <w:p>
      <w:pPr>
        <w:numPr>
          <w:numId w:val="18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说话人1还提出看学校是否为双一流专业、有无硕士博士点，同时强调从就业角度评价专业。</w:t>
      </w:r>
    </w:p>
    <w:p>
      <w:pPr>
        <w:numPr>
          <w:numId w:val="1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决策依据</w:t>
      </w:r>
      <w:r>
        <w:rPr>
          <w:rFonts w:eastAsia="等线" w:ascii="Arial" w:cs="Arial" w:hAnsi="Arial"/>
          <w:sz w:val="22"/>
        </w:rPr>
        <w:t>：通过现场举手二选一的方式，多数人选择了就业好的，表明大家更看重就业。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其他决策</w:t>
      </w:r>
      <w:r>
        <w:rPr>
          <w:rFonts w:eastAsia="等线" w:ascii="Arial" w:cs="Arial" w:hAnsi="Arial"/>
          <w:sz w:val="22"/>
        </w:rPr>
        <w:t>：无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>金句时刻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「评价教授怎么样，要看其毕业于哪个学校，跟的是哪个导师，在专业学术领域，师承的影响很大，个体影响可能大于学校影响。」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>提出评价教授时师承的重要性，且点明在专业学术领域个体影响与学校影响的关系，具有独特洞察。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「如果送孩子读书目的是就业，就应该看就业情况，而不是只看师资，师资好并不等于就业好。」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 xml:space="preserve">突出在选择专业时应根据读书目的来考量，明确指出师资和就业之间没有必然联系，引发思考。 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「评价专业其实不用看那么多，很多人不看就业情况是因为学校不会告知相关信息。」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 xml:space="preserve">简洁地总结了评价专业的要点，并指出人们不关注就业的原因，让读者能快速理解。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sz w:val="36"/>
        </w:rPr>
        <w:t>相关链接</w:t>
      </w:r>
      <w:bookmarkEnd w:id="4"/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妙记：</w:t>
      </w:r>
      <w:hyperlink r:id="rId10">
        <w:r>
          <w:rPr>
            <w:rFonts w:eastAsia="等线" w:ascii="Arial" w:cs="Arial" w:hAnsi="Arial"/>
            <w:color w:val="3370ff"/>
            <w:sz w:val="22"/>
          </w:rPr>
          <w:t>41、M：专业好，对口就业最关键</w:t>
        </w:r>
      </w:hyperlink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文字记录</w:t>
      </w:r>
    </w:p>
    <w:p>
      <w:pPr>
        <w:numPr>
          <w:numId w:val="23"/>
        </w:numPr>
        <w:spacing w:before="120" w:after="120" w:line="288" w:lineRule="auto"/>
        <w:ind w:left="453"/>
        <w:jc w:val="left"/>
      </w:pPr>
      <w:hyperlink r:id="rId11">
        <w:r>
          <w:rPr>
            <w:rFonts w:eastAsia="等线" w:ascii="Arial" w:cs="Arial" w:hAnsi="Arial"/>
            <w:color w:val="3370ff"/>
            <w:sz w:val="22"/>
          </w:rPr>
          <w:t>41、M：专业好，对口就业最关键 2026年1月22日</w:t>
        </w:r>
      </w:hyperlink>
    </w:p>
    <w:sectPr>
      <w:footerReference w:type="default" r:id="rId3"/>
      <w:headerReference w:type="default" r:id="rId12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319">
    <w:lvl>
      <w:numFmt w:val="bullet"/>
      <w:suff w:val="tab"/>
      <w:lvlText w:val="•"/>
      <w:rPr>
        <w:color w:val="3370ff"/>
      </w:rPr>
    </w:lvl>
  </w:abstractNum>
  <w:abstractNum w:abstractNumId="2320">
    <w:lvl>
      <w:numFmt w:val="bullet"/>
      <w:suff w:val="tab"/>
      <w:lvlText w:val="•"/>
      <w:rPr>
        <w:color w:val="3370ff"/>
      </w:rPr>
    </w:lvl>
  </w:abstractNum>
  <w:abstractNum w:abstractNumId="2321">
    <w:lvl>
      <w:numFmt w:val="bullet"/>
      <w:suff w:val="tab"/>
      <w:lvlText w:val="•"/>
      <w:rPr>
        <w:color w:val="3370ff"/>
      </w:rPr>
    </w:lvl>
  </w:abstractNum>
  <w:abstractNum w:abstractNumId="2322">
    <w:lvl>
      <w:numFmt w:val="bullet"/>
      <w:suff w:val="tab"/>
      <w:lvlText w:val="￮"/>
      <w:rPr>
        <w:color w:val="3370ff"/>
      </w:rPr>
    </w:lvl>
  </w:abstractNum>
  <w:abstractNum w:abstractNumId="2323">
    <w:lvl>
      <w:numFmt w:val="bullet"/>
      <w:suff w:val="tab"/>
      <w:lvlText w:val="￮"/>
      <w:rPr>
        <w:color w:val="3370ff"/>
      </w:rPr>
    </w:lvl>
  </w:abstractNum>
  <w:abstractNum w:abstractNumId="2324">
    <w:lvl>
      <w:numFmt w:val="bullet"/>
      <w:suff w:val="tab"/>
      <w:lvlText w:val="￮"/>
      <w:rPr>
        <w:color w:val="3370ff"/>
      </w:rPr>
    </w:lvl>
  </w:abstractNum>
  <w:abstractNum w:abstractNumId="2325">
    <w:lvl>
      <w:numFmt w:val="bullet"/>
      <w:suff w:val="tab"/>
      <w:lvlText w:val="▪"/>
      <w:rPr>
        <w:color w:val="3370ff"/>
        <w:sz w:val="11"/>
      </w:rPr>
    </w:lvl>
  </w:abstractNum>
  <w:abstractNum w:abstractNumId="2326">
    <w:lvl>
      <w:numFmt w:val="bullet"/>
      <w:suff w:val="tab"/>
      <w:lvlText w:val="▪"/>
      <w:rPr>
        <w:color w:val="3370ff"/>
        <w:sz w:val="11"/>
      </w:rPr>
    </w:lvl>
  </w:abstractNum>
  <w:abstractNum w:abstractNumId="2327">
    <w:lvl>
      <w:numFmt w:val="bullet"/>
      <w:suff w:val="tab"/>
      <w:lvlText w:val="￮"/>
      <w:rPr>
        <w:color w:val="3370ff"/>
      </w:rPr>
    </w:lvl>
  </w:abstractNum>
  <w:abstractNum w:abstractNumId="2328">
    <w:lvl>
      <w:numFmt w:val="bullet"/>
      <w:suff w:val="tab"/>
      <w:lvlText w:val="•"/>
      <w:rPr>
        <w:color w:val="3370ff"/>
      </w:rPr>
    </w:lvl>
  </w:abstractNum>
  <w:abstractNum w:abstractNumId="2329">
    <w:lvl>
      <w:numFmt w:val="bullet"/>
      <w:suff w:val="tab"/>
      <w:lvlText w:val="￮"/>
      <w:rPr>
        <w:color w:val="3370ff"/>
      </w:rPr>
    </w:lvl>
  </w:abstractNum>
  <w:abstractNum w:abstractNumId="2330">
    <w:lvl>
      <w:numFmt w:val="bullet"/>
      <w:suff w:val="tab"/>
      <w:lvlText w:val="￮"/>
      <w:rPr>
        <w:color w:val="3370ff"/>
      </w:rPr>
    </w:lvl>
  </w:abstractNum>
  <w:abstractNum w:abstractNumId="2331">
    <w:lvl>
      <w:numFmt w:val="bullet"/>
      <w:suff w:val="tab"/>
      <w:lvlText w:val="•"/>
      <w:rPr>
        <w:color w:val="3370ff"/>
      </w:rPr>
    </w:lvl>
  </w:abstractNum>
  <w:abstractNum w:abstractNumId="2332">
    <w:lvl>
      <w:numFmt w:val="bullet"/>
      <w:suff w:val="tab"/>
      <w:lvlText w:val="￮"/>
      <w:rPr>
        <w:color w:val="3370ff"/>
      </w:rPr>
    </w:lvl>
  </w:abstractNum>
  <w:abstractNum w:abstractNumId="2333">
    <w:lvl>
      <w:numFmt w:val="bullet"/>
      <w:suff w:val="tab"/>
      <w:lvlText w:val="￮"/>
      <w:rPr>
        <w:color w:val="3370ff"/>
      </w:rPr>
    </w:lvl>
  </w:abstractNum>
  <w:abstractNum w:abstractNumId="2334">
    <w:lvl>
      <w:numFmt w:val="bullet"/>
      <w:suff w:val="tab"/>
      <w:lvlText w:val="▪"/>
      <w:rPr>
        <w:color w:val="3370ff"/>
        <w:sz w:val="11"/>
      </w:rPr>
    </w:lvl>
  </w:abstractNum>
  <w:abstractNum w:abstractNumId="2335">
    <w:lvl>
      <w:numFmt w:val="bullet"/>
      <w:suff w:val="tab"/>
      <w:lvlText w:val="▪"/>
      <w:rPr>
        <w:color w:val="3370ff"/>
        <w:sz w:val="11"/>
      </w:rPr>
    </w:lvl>
  </w:abstractNum>
  <w:abstractNum w:abstractNumId="2336">
    <w:lvl>
      <w:numFmt w:val="bullet"/>
      <w:suff w:val="tab"/>
      <w:lvlText w:val="▪"/>
      <w:rPr>
        <w:color w:val="3370ff"/>
        <w:sz w:val="11"/>
      </w:rPr>
    </w:lvl>
  </w:abstractNum>
  <w:abstractNum w:abstractNumId="2337">
    <w:lvl>
      <w:numFmt w:val="bullet"/>
      <w:suff w:val="tab"/>
      <w:lvlText w:val="￮"/>
      <w:rPr>
        <w:color w:val="3370ff"/>
      </w:rPr>
    </w:lvl>
  </w:abstractNum>
  <w:abstractNum w:abstractNumId="2338">
    <w:lvl>
      <w:numFmt w:val="bullet"/>
      <w:suff w:val="tab"/>
      <w:lvlText w:val="•"/>
      <w:rPr>
        <w:color w:val="3370ff"/>
      </w:rPr>
    </w:lvl>
  </w:abstractNum>
  <w:abstractNum w:abstractNumId="2339">
    <w:lvl>
      <w:numFmt w:val="bullet"/>
      <w:suff w:val="tab"/>
      <w:lvlText w:val="•"/>
      <w:rPr>
        <w:color w:val="3370ff"/>
      </w:rPr>
    </w:lvl>
  </w:abstractNum>
  <w:abstractNum w:abstractNumId="2340">
    <w:lvl>
      <w:numFmt w:val="bullet"/>
      <w:suff w:val="tab"/>
      <w:lvlText w:val="•"/>
      <w:rPr>
        <w:color w:val="3370ff"/>
      </w:rPr>
    </w:lvl>
  </w:abstractNum>
  <w:abstractNum w:abstractNumId="2341">
    <w:lvl>
      <w:numFmt w:val="bullet"/>
      <w:suff w:val="tab"/>
      <w:lvlText w:val="￮"/>
      <w:rPr>
        <w:color w:val="3370ff"/>
      </w:rPr>
    </w:lvl>
  </w:abstractNum>
  <w:num w:numId="1">
    <w:abstractNumId w:val="2319"/>
  </w:num>
  <w:num w:numId="2">
    <w:abstractNumId w:val="2320"/>
  </w:num>
  <w:num w:numId="3">
    <w:abstractNumId w:val="2321"/>
  </w:num>
  <w:num w:numId="4">
    <w:abstractNumId w:val="2322"/>
  </w:num>
  <w:num w:numId="5">
    <w:abstractNumId w:val="2323"/>
  </w:num>
  <w:num w:numId="6">
    <w:abstractNumId w:val="2324"/>
  </w:num>
  <w:num w:numId="7">
    <w:abstractNumId w:val="2325"/>
  </w:num>
  <w:num w:numId="8">
    <w:abstractNumId w:val="2326"/>
  </w:num>
  <w:num w:numId="9">
    <w:abstractNumId w:val="2327"/>
  </w:num>
  <w:num w:numId="10">
    <w:abstractNumId w:val="2328"/>
  </w:num>
  <w:num w:numId="11">
    <w:abstractNumId w:val="2329"/>
  </w:num>
  <w:num w:numId="12">
    <w:abstractNumId w:val="2330"/>
  </w:num>
  <w:num w:numId="13">
    <w:abstractNumId w:val="2331"/>
  </w:num>
  <w:num w:numId="14">
    <w:abstractNumId w:val="2332"/>
  </w:num>
  <w:num w:numId="15">
    <w:abstractNumId w:val="2333"/>
  </w:num>
  <w:num w:numId="16">
    <w:abstractNumId w:val="2334"/>
  </w:num>
  <w:num w:numId="17">
    <w:abstractNumId w:val="2335"/>
  </w:num>
  <w:num w:numId="18">
    <w:abstractNumId w:val="2336"/>
  </w:num>
  <w:num w:numId="19">
    <w:abstractNumId w:val="2337"/>
  </w:num>
  <w:num w:numId="20">
    <w:abstractNumId w:val="2338"/>
  </w:num>
  <w:num w:numId="21">
    <w:abstractNumId w:val="2339"/>
  </w:num>
  <w:num w:numId="22">
    <w:abstractNumId w:val="2340"/>
  </w:num>
  <w:num w:numId="23">
    <w:abstractNumId w:val="2341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https://hcnytq72r1ge.feishu.cn/minutes/obcnfo1522ap33qgx552tfpv?from=ai_minutes" TargetMode="External" Type="http://schemas.openxmlformats.org/officeDocument/2006/relationships/hyperlink"/><Relationship Id="rId11" Target="https://hcnytq72r1ge.feishu.cn/docx/T0ygdmpdnoLbXuxVJupcEDhynJf" TargetMode="External" Type="http://schemas.openxmlformats.org/officeDocument/2006/relationships/hyperlink"/><Relationship Id="rId12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jpeg" Type="http://schemas.openxmlformats.org/officeDocument/2006/relationships/image"/><Relationship Id="rId5" Target="numbering.xml" Type="http://schemas.openxmlformats.org/officeDocument/2006/relationships/numbering"/><Relationship Id="rId6" Target="media/image2.png" Type="http://schemas.openxmlformats.org/officeDocument/2006/relationships/image"/><Relationship Id="rId7" Target="https://hcnytq72r1ge.feishu.cn/minutes/obcnfo1522ap33qgx552tfpv?t=2000" TargetMode="External" Type="http://schemas.openxmlformats.org/officeDocument/2006/relationships/hyperlink"/><Relationship Id="rId8" Target="https://hcnytq72r1ge.feishu.cn/minutes/obcnfo1522ap33qgx552tfpv?t=71000" TargetMode="External" Type="http://schemas.openxmlformats.org/officeDocument/2006/relationships/hyperlink"/><Relationship Id="rId9" Target="https://hcnytq72r1ge.feishu.cn/minutes/obcnfo1522ap33qgx552tfpv?t=275000" TargetMode="External" Type="http://schemas.openxmlformats.org/officeDocument/2006/relationships/hyperlink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2026-01-26T08:57:52Z</dcterms:created>
  <dc:creator>Apache POI</dc:creator>
</cp:coreProperties>
</file>