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智能纪要：42、教你看懂学校的就业性价比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会议主题：42、教你看懂学校的就业性价比</w:t>
            </w:r>
          </w:p>
          <w:p>
            <w:pPr>
              <w:spacing w:before="120" w:after="120" w:line="288" w:lineRule="auto"/>
              <w:ind w:left="0"/>
              <w:jc w:val="left"/>
            </w:pPr>
            <w:r>
              <w:rPr>
                <w:rFonts w:eastAsia="等线" w:ascii="Arial" w:cs="Arial" w:hAnsi="Arial"/>
                <w:color w:val="646a73"/>
                <w:sz w:val="22"/>
              </w:rPr>
              <w:t>上传时间：1月22号（周四） 22:24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705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705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本次会议围绕学校专业选择和城市经济发展对学生的影响展开讨论，分析了不同学校专业的就业情况及城市经济发展对实习和就业的帮助，为学生和家长在报考学校和选择专业时提供参考，内容如下：</w:t>
      </w:r>
    </w:p>
    <w:p>
      <w:pPr>
        <w:numPr>
          <w:numId w:val="1"/>
        </w:numPr>
        <w:spacing w:before="120" w:after="120" w:line="288" w:lineRule="auto"/>
        <w:ind w:left="0"/>
        <w:jc w:val="left"/>
      </w:pPr>
      <w:r>
        <w:rPr>
          <w:rFonts w:eastAsia="等线" w:ascii="Arial" w:cs="Arial" w:hAnsi="Arial"/>
          <w:b w:val="true"/>
          <w:sz w:val="22"/>
        </w:rPr>
        <w:t>学校专业对比分析</w:t>
      </w:r>
    </w:p>
    <w:p>
      <w:pPr>
        <w:numPr>
          <w:numId w:val="2"/>
        </w:numPr>
        <w:spacing w:before="120" w:after="120" w:line="288" w:lineRule="auto"/>
        <w:ind w:left="453"/>
        <w:jc w:val="left"/>
      </w:pPr>
      <w:r>
        <w:rPr>
          <w:rFonts w:eastAsia="等线" w:ascii="Arial" w:cs="Arial" w:hAnsi="Arial"/>
          <w:b w:val="true"/>
          <w:sz w:val="22"/>
        </w:rPr>
        <w:t>深圳大学计算机专业</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636"/>
        <w:gridCol w:w="3643"/>
      </w:tblGrid>
      <w:tr>
        <w:tc>
          <w:tcPr>
            <w:tcW w:w="4636"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就业情况对比：说话人1指出，深圳大学计算机专业常与中山大学、华南理工大学的计算机专业作比较。从就业公司、岗位和薪资来看，三所学校计算机专业就业情况相近，但深圳大学是双非院校，录取分数比中山大学和华南理工大学低近 20 分。</w:t>
            </w:r>
          </w:p>
        </w:tc>
        <w:tc>
          <w:tcPr>
            <w:tcW w:w="3643" w:type="dxa"/>
            <w:tcMar>
              <w:top w:type="dxa" w:w="60"/>
              <w:left w:type="dxa" w:w="120"/>
              <w:bottom w:type="dxa" w:w="30"/>
              <w:right w:type="dxa" w:w="120"/>
            </w:tcMar>
          </w:tcPr>
          <w:p>
            <w:pPr>
              <w:spacing w:before="120" w:after="120" w:line="288" w:lineRule="auto"/>
              <w:ind w:left="0"/>
              <w:jc w:val="center"/>
            </w:pPr>
            <w:r>
              <w:drawing>
                <wp:inline distT="0" distR="0" distB="0" distL="0">
                  <wp:extent cx="2152650" cy="676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152650" cy="6762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广东省三所高校计算机专业对比</w:t>
              <w:br/>
            </w:r>
          </w:p>
        </w:tc>
      </w:tr>
    </w:tbl>
    <w:p>
      <w:pPr>
        <w:numPr>
          <w:numId w:val="4"/>
        </w:numPr>
        <w:spacing w:before="120" w:after="120" w:line="288" w:lineRule="auto"/>
        <w:ind w:left="907"/>
        <w:jc w:val="left"/>
      </w:pPr>
      <w:r>
        <w:rPr>
          <w:rFonts w:eastAsia="等线" w:ascii="Arial" w:cs="Arial" w:hAnsi="Arial"/>
          <w:sz w:val="22"/>
        </w:rPr>
        <w:t>学校潜力与支持：深圳大学虽为双非院校，但年度预算达 50 多亿，与兰州大学相当，资金主要来自深圳政府。深圳政府还投入 100 亿建设深圳大学附属医院。说话人1以纽约大学为例，说明地方政府支持对学校发展的重要性，认为深圳大学有潜力。</w:t>
      </w:r>
    </w:p>
    <w:p>
      <w:pPr>
        <w:numPr>
          <w:numId w:val="5"/>
        </w:numPr>
        <w:spacing w:before="120" w:after="120" w:line="288" w:lineRule="auto"/>
        <w:ind w:left="453"/>
        <w:jc w:val="left"/>
      </w:pPr>
      <w:r>
        <w:rPr>
          <w:rFonts w:eastAsia="等线" w:ascii="Arial" w:cs="Arial" w:hAnsi="Arial"/>
          <w:b w:val="true"/>
          <w:sz w:val="22"/>
        </w:rPr>
        <w:t>清华大学不同专业</w:t>
      </w:r>
    </w:p>
    <w:p>
      <w:pPr>
        <w:numPr>
          <w:numId w:val="6"/>
        </w:numPr>
        <w:spacing w:before="120" w:after="120" w:line="288" w:lineRule="auto"/>
        <w:ind w:left="907"/>
        <w:jc w:val="left"/>
      </w:pPr>
      <w:r>
        <w:rPr>
          <w:rFonts w:eastAsia="等线" w:ascii="Arial" w:cs="Arial" w:hAnsi="Arial"/>
          <w:sz w:val="22"/>
        </w:rPr>
        <w:t>金融专业优势：说话人1介绍，清华大学金融专业在中国金融界有绝对话语权，其毕业十年平均月薪 7 万多，金融专业校友会规模大，成员多为顶级投资公司创始人。</w:t>
      </w:r>
    </w:p>
    <w:p>
      <w:pPr>
        <w:numPr>
          <w:numId w:val="7"/>
        </w:numPr>
        <w:spacing w:before="120" w:after="120" w:line="288" w:lineRule="auto"/>
        <w:ind w:left="907"/>
        <w:jc w:val="left"/>
      </w:pPr>
      <w:r>
        <w:rPr>
          <w:rFonts w:eastAsia="等线" w:ascii="Arial" w:cs="Arial" w:hAnsi="Arial"/>
          <w:sz w:val="22"/>
        </w:rPr>
        <w:t>专业薪资差异：对比清华大学环境工程专业和计算机专业，环境工程专业薪资低于学校平均线，而金融和计算机专业高于平均线。这表明选择学校和专业时，需在保学校和保专业之间权衡。</w:t>
      </w:r>
    </w:p>
    <w:p>
      <w:pPr>
        <w:numPr>
          <w:numId w:val="8"/>
        </w:numPr>
        <w:spacing w:before="120" w:after="120" w:line="288" w:lineRule="auto"/>
        <w:ind w:left="453"/>
        <w:jc w:val="left"/>
      </w:pPr>
      <w:r>
        <w:rPr>
          <w:rFonts w:eastAsia="等线" w:ascii="Arial" w:cs="Arial" w:hAnsi="Arial"/>
          <w:b w:val="true"/>
          <w:sz w:val="22"/>
        </w:rPr>
        <w:t>其他学校计算机专业</w:t>
      </w:r>
      <w:r>
        <w:rPr>
          <w:rFonts w:eastAsia="等线" w:ascii="Arial" w:cs="Arial" w:hAnsi="Arial"/>
          <w:sz w:val="22"/>
        </w:rPr>
        <w:t>：说话人1建议查询复旦大学、上海交通大学计算机专业情况，指出能上清华大学环境工程专业的分数，可报考这两所学校的计算机专业，且薪资差异较大。</w:t>
      </w:r>
    </w:p>
    <w:p>
      <w:pPr>
        <w:numPr>
          <w:numId w:val="9"/>
        </w:numPr>
        <w:spacing w:before="120" w:after="120" w:line="288" w:lineRule="auto"/>
        <w:ind w:left="0"/>
        <w:jc w:val="left"/>
      </w:pPr>
      <w:r>
        <w:rPr>
          <w:rFonts w:eastAsia="等线" w:ascii="Arial" w:cs="Arial" w:hAnsi="Arial"/>
          <w:b w:val="true"/>
          <w:sz w:val="22"/>
        </w:rPr>
        <w:t>学校与专业选择考量因素</w:t>
      </w:r>
    </w:p>
    <w:p>
      <w:pPr>
        <w:numPr>
          <w:numId w:val="10"/>
        </w:numPr>
        <w:spacing w:before="120" w:after="120" w:line="288" w:lineRule="auto"/>
        <w:ind w:left="453"/>
        <w:jc w:val="left"/>
      </w:pPr>
      <w:r>
        <w:rPr>
          <w:rFonts w:eastAsia="等线" w:ascii="Arial" w:cs="Arial" w:hAnsi="Arial"/>
          <w:b w:val="true"/>
          <w:sz w:val="22"/>
        </w:rPr>
        <w:t>就业导向选择</w:t>
      </w:r>
      <w:r>
        <w:rPr>
          <w:rFonts w:eastAsia="等线" w:ascii="Arial" w:cs="Arial" w:hAnsi="Arial"/>
          <w:sz w:val="22"/>
        </w:rPr>
        <w:t>：说话人1认为，若送孩子上大学目的是就业，评价学校专业好坏应看就业数据；若为培养专业人才，如学者，则应关注师资。同时，要考虑孩子自身意愿。</w:t>
      </w:r>
    </w:p>
    <w:p>
      <w:pPr>
        <w:numPr>
          <w:numId w:val="11"/>
        </w:numPr>
        <w:spacing w:before="120" w:after="120" w:line="288" w:lineRule="auto"/>
        <w:ind w:left="453"/>
        <w:jc w:val="left"/>
      </w:pPr>
      <w:r>
        <w:rPr>
          <w:rFonts w:eastAsia="等线" w:ascii="Arial" w:cs="Arial" w:hAnsi="Arial"/>
          <w:b w:val="true"/>
          <w:sz w:val="22"/>
        </w:rPr>
        <w:t>案例说明</w:t>
      </w:r>
      <w:r>
        <w:rPr>
          <w:rFonts w:eastAsia="等线" w:ascii="Arial" w:cs="Arial" w:hAnsi="Arial"/>
          <w:sz w:val="22"/>
        </w:rPr>
        <w:t>：说话人1提及一位家长坚持孩子读清华最差专业也比去其他 985 大学强，对此表示应根据就业目的理性选择。</w:t>
      </w:r>
    </w:p>
    <w:p>
      <w:pPr>
        <w:numPr>
          <w:numId w:val="12"/>
        </w:numPr>
        <w:spacing w:before="120" w:after="120" w:line="288" w:lineRule="auto"/>
        <w:ind w:left="0"/>
        <w:jc w:val="left"/>
      </w:pPr>
      <w:r>
        <w:rPr>
          <w:rFonts w:eastAsia="等线" w:ascii="Arial" w:cs="Arial" w:hAnsi="Arial"/>
          <w:b w:val="true"/>
          <w:sz w:val="22"/>
        </w:rPr>
        <w:t>城市经济发展对学生的影响</w:t>
      </w:r>
    </w:p>
    <w:p>
      <w:pPr>
        <w:numPr>
          <w:numId w:val="13"/>
        </w:numPr>
        <w:spacing w:before="120" w:after="120" w:line="288" w:lineRule="auto"/>
        <w:ind w:left="453"/>
        <w:jc w:val="left"/>
      </w:pPr>
      <w:r>
        <w:rPr>
          <w:rFonts w:eastAsia="等线" w:ascii="Arial" w:cs="Arial" w:hAnsi="Arial"/>
          <w:b w:val="true"/>
          <w:sz w:val="22"/>
        </w:rPr>
        <w:t>实习机会差异</w:t>
      </w:r>
    </w:p>
    <w:p>
      <w:pPr>
        <w:numPr>
          <w:numId w:val="14"/>
        </w:numPr>
        <w:spacing w:before="120" w:after="120" w:line="288" w:lineRule="auto"/>
        <w:ind w:left="907"/>
        <w:jc w:val="left"/>
      </w:pPr>
      <w:r>
        <w:rPr>
          <w:rFonts w:eastAsia="等线" w:ascii="Arial" w:cs="Arial" w:hAnsi="Arial"/>
          <w:sz w:val="22"/>
        </w:rPr>
        <w:t>重要性体现：说话人1强调，城市经济发展对学生实习机会影响大。经济发达城市如苏州，能提供更多高质量实习机会，而兰州等城市较难获得外地实习机会。</w:t>
      </w:r>
    </w:p>
    <w:p>
      <w:pPr>
        <w:numPr>
          <w:numId w:val="15"/>
        </w:numPr>
        <w:spacing w:before="120" w:after="120" w:line="288" w:lineRule="auto"/>
        <w:ind w:left="907"/>
        <w:jc w:val="left"/>
      </w:pPr>
      <w:r>
        <w:rPr>
          <w:rFonts w:eastAsia="等线" w:ascii="Arial" w:cs="Arial" w:hAnsi="Arial"/>
          <w:sz w:val="22"/>
        </w:rPr>
        <w:t>学生利用情况：但部分学生即使在有实习机会的城市，也因课程安排等原因无法参与实习，如华中科技大学课程排到毕业前，学生无时间实习；而深圳大学从大二开始鼓励学生实习。</w:t>
      </w:r>
    </w:p>
    <w:p>
      <w:pPr>
        <w:numPr>
          <w:numId w:val="16"/>
        </w:numPr>
        <w:spacing w:before="120" w:after="120" w:line="288" w:lineRule="auto"/>
        <w:ind w:left="453"/>
        <w:jc w:val="left"/>
      </w:pPr>
      <w:r>
        <w:rPr>
          <w:rFonts w:eastAsia="等线" w:ascii="Arial" w:cs="Arial" w:hAnsi="Arial"/>
          <w:b w:val="true"/>
          <w:sz w:val="22"/>
        </w:rPr>
        <w:t>衡量城市经济发展指标</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传统指标局限性：说话人1分析，GDP、城市人口、房价、人均收入等传统指标不能准确衡量城市经济发展情况，如哈尔滨 GDP 高但经济发展不一定比无锡好，温州房价高是因炒作，呼和浩特 GDP 和人均收入高但经济发展情况有待考量。</w:t>
            </w:r>
          </w:p>
          <w:p>
            <w:pPr>
              <w:numPr>
                <w:numId w:val="18"/>
              </w:numPr>
              <w:spacing w:before="120" w:after="120" w:line="288" w:lineRule="auto"/>
              <w:ind w:left="0"/>
              <w:jc w:val="left"/>
            </w:pPr>
            <w:r>
              <w:rPr>
                <w:rFonts w:eastAsia="等线" w:ascii="Arial" w:cs="Arial" w:hAnsi="Arial"/>
                <w:sz w:val="22"/>
              </w:rPr>
              <w:t>毕业生留地比例指标：说话人1提出，可通过毕业生留在当地的比例衡量城市经济发展对学生的吸引力和适配度。如兰州大学毕业生留在兰州的比例为 9.2%，深圳大学毕业生留在深圳的比例更高，上海立信会计学院、东华大学毕业生留在上海的比例也较高。通过对比不同学校毕业生留地比例，可对城市经济发展情况有基本认知。</w:t>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15049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943100" cy="15049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部分高校毕业生留地比例</w:t>
              <w:br/>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00:00</w:t>
        </w:r>
      </w:hyperlink>
      <w:r>
        <w:rPr>
          <w:rFonts w:eastAsia="等线" w:ascii="Arial" w:cs="Arial" w:hAnsi="Arial"/>
          <w:b w:val="true"/>
          <w:sz w:val="22"/>
        </w:rPr>
        <w:t xml:space="preserve">  深圳大学计算机专业就业及发展潜力分析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深圳大学计算机专业展开。先提及深大宣传片用就业数据，还以马化腾、史玉柱为例。将其与中山大学、华南理工大学计算机专业对比，发现就业、薪资相近，但深大录取分低近20分。深大虽是双非院校，却有深圳政府大力支持，预算达50多亿，当地就业环境好，其计算机专业在当地很吃香。</w:t>
            </w:r>
          </w:p>
        </w:tc>
      </w:tr>
    </w:tbl>
    <w:p>
      <w:pPr>
        <w:spacing w:before="120" w:after="120" w:line="288" w:lineRule="auto"/>
        <w:ind w:left="0"/>
        <w:jc w:val="left"/>
      </w:pPr>
      <w:hyperlink r:id="rId9">
        <w:r>
          <w:rPr>
            <w:rFonts w:eastAsia="等线" w:ascii="Arial" w:cs="Arial" w:hAnsi="Arial"/>
            <w:color w:val="3370ff"/>
            <w:sz w:val="22"/>
          </w:rPr>
          <w:t>06:09</w:t>
        </w:r>
      </w:hyperlink>
      <w:r>
        <w:rPr>
          <w:rFonts w:eastAsia="等线" w:ascii="Arial" w:cs="Arial" w:hAnsi="Arial"/>
          <w:b w:val="true"/>
          <w:sz w:val="22"/>
        </w:rPr>
        <w:t xml:space="preserve">  清华不同专业就业薪资对比及择校建议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以清华大学不同专业为例，对比了金融、环境工程、计算机等专业的就业薪资情况，指出清华金融专业在业界话语权大，毕业薪资高，环境工程专业则低于平均线。强调选校选专业时，若以就业为目的，可参考就业数据；若想培养专业人才，则应关注师资，同时也要考虑孩子的意愿。</w:t>
            </w:r>
          </w:p>
        </w:tc>
      </w:tr>
    </w:tbl>
    <w:p>
      <w:pPr>
        <w:spacing w:before="120" w:after="120" w:line="288" w:lineRule="auto"/>
        <w:ind w:left="0"/>
        <w:jc w:val="left"/>
      </w:pPr>
      <w:hyperlink r:id="rId10">
        <w:r>
          <w:rPr>
            <w:rFonts w:eastAsia="等线" w:ascii="Arial" w:cs="Arial" w:hAnsi="Arial"/>
            <w:color w:val="3370ff"/>
            <w:sz w:val="22"/>
          </w:rPr>
          <w:t>09:56</w:t>
        </w:r>
      </w:hyperlink>
      <w:r>
        <w:rPr>
          <w:rFonts w:eastAsia="等线" w:ascii="Arial" w:cs="Arial" w:hAnsi="Arial"/>
          <w:b w:val="true"/>
          <w:sz w:val="22"/>
        </w:rPr>
        <w:t xml:space="preserve">  城市经济发展对大学生实习就业的影响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城市经济发展对学生的影响展开讨论。有人认为城市经济好利于孩子发展，但需明确具体影响。经分析，关键在于提供实习机会，发达城市能提供更高质量实习机会，学生若抓住可积累技能，提升竞争力，利于就业，因而城市经济发展是选择学校时的重要考量因素。</w:t>
            </w:r>
          </w:p>
        </w:tc>
      </w:tr>
    </w:tbl>
    <w:p>
      <w:pPr>
        <w:spacing w:before="120" w:after="120" w:line="288" w:lineRule="auto"/>
        <w:ind w:left="0"/>
        <w:jc w:val="left"/>
      </w:pPr>
      <w:hyperlink r:id="rId11">
        <w:r>
          <w:rPr>
            <w:rFonts w:eastAsia="等线" w:ascii="Arial" w:cs="Arial" w:hAnsi="Arial"/>
            <w:color w:val="3370ff"/>
            <w:sz w:val="22"/>
          </w:rPr>
          <w:t>16:37</w:t>
        </w:r>
      </w:hyperlink>
      <w:r>
        <w:rPr>
          <w:rFonts w:eastAsia="等线" w:ascii="Arial" w:cs="Arial" w:hAnsi="Arial"/>
          <w:b w:val="true"/>
          <w:sz w:val="22"/>
        </w:rPr>
        <w:t xml:space="preserve">  以高校毕业生留城率衡量城市经济发展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如何评价城市经济发展，提及GDP、人口、房价、人均收入等指标均有不足。说话人提出用高校毕业生留当地比例衡量，让大家查询兰州大学、深圳大学等校毕业生留当地比例，还给出部分城市该数据排名，指出此数字高意味着城市发展与个人发展一致，能体现城市吸引力。</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9"/>
        </w:numPr>
        <w:spacing w:before="120" w:after="120" w:line="288" w:lineRule="auto"/>
        <w:ind w:left="0"/>
        <w:jc w:val="left"/>
      </w:pPr>
      <w:r>
        <w:rPr>
          <w:rFonts w:eastAsia="等线" w:ascii="Arial" w:cs="Arial" w:hAnsi="Arial"/>
          <w:b w:val="true"/>
          <w:sz w:val="22"/>
        </w:rPr>
        <w:t>学校专业对比分析</w:t>
      </w:r>
      <w:r>
        <w:rPr>
          <w:rFonts w:eastAsia="等线" w:ascii="Arial" w:cs="Arial" w:hAnsi="Arial"/>
          <w:sz w:val="22"/>
        </w:rPr>
        <w:t>：对比了深圳大学、中山大学、华南理工大学的计算机专业就业情况，指出深圳大学虽为双非院校，但有地理和政府支持优势，当地就业环境好；还对比了清华大学不同专业的就业薪资，强调选校和专业时要考虑就业目的和孩子意愿。</w:t>
      </w:r>
    </w:p>
    <w:p>
      <w:pPr>
        <w:numPr>
          <w:numId w:val="20"/>
        </w:numPr>
        <w:spacing w:before="120" w:after="120" w:line="288" w:lineRule="auto"/>
        <w:ind w:left="0"/>
        <w:jc w:val="left"/>
      </w:pPr>
      <w:r>
        <w:rPr>
          <w:rFonts w:eastAsia="等线" w:ascii="Arial" w:cs="Arial" w:hAnsi="Arial"/>
          <w:b w:val="true"/>
          <w:sz w:val="22"/>
        </w:rPr>
        <w:t>城市经济发展对学生的影响</w:t>
      </w:r>
      <w:r>
        <w:rPr>
          <w:rFonts w:eastAsia="等线" w:ascii="Arial" w:cs="Arial" w:hAnsi="Arial"/>
          <w:sz w:val="22"/>
        </w:rPr>
        <w:t>：探讨城市经济发展对学生的影响，认为主要体现在提供实习和就业机会上，鼓励学生抓住机会积累实习经验；并提出用毕业生留在当地的比例衡量城市经济发展与个人发展的契合度。</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「看学校，有时候的确是要看这个学校它的潜力，以及当地地方对这个学校的支持。」</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突出了选择学校时除了关注现有条件，还应重视学校潜力和地方支持这两个重要因素，具有独特洞察，能引发思考。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「如果把孩子送到大学的目的是为了就业，那评价一个学校的专业好不好，就看就业数据就完了，不用看别的。」</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明确了以就业为目的选校和专业时的关键衡量标准，简洁有力，能让读者快速理解核心观点。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「如果城市能够给学生提供很好的就业和实习机会，一定要抓住，这是当地经济发展好的重要竞争优势。」</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强调了抓住实习机会的重要性，以及城市经济发展与学生就业的关联，对学生有实际指导意义。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1"/>
        </w:numPr>
        <w:spacing w:before="120" w:after="120" w:line="288" w:lineRule="auto"/>
        <w:ind w:left="0"/>
        <w:jc w:val="left"/>
      </w:pPr>
      <w:r>
        <w:rPr>
          <w:rFonts w:eastAsia="等线" w:ascii="Arial" w:cs="Arial" w:hAnsi="Arial"/>
          <w:sz w:val="22"/>
        </w:rPr>
        <w:t>妙记：</w:t>
      </w:r>
      <w:hyperlink r:id="rId12">
        <w:r>
          <w:rPr>
            <w:rFonts w:eastAsia="等线" w:ascii="Arial" w:cs="Arial" w:hAnsi="Arial"/>
            <w:color w:val="3370ff"/>
            <w:sz w:val="22"/>
          </w:rPr>
          <w:t>42、教你看懂学校的就业性价比</w:t>
        </w:r>
      </w:hyperlink>
    </w:p>
    <w:p>
      <w:pPr>
        <w:numPr>
          <w:numId w:val="22"/>
        </w:numPr>
        <w:spacing w:before="120" w:after="120" w:line="288" w:lineRule="auto"/>
        <w:ind w:left="0"/>
        <w:jc w:val="left"/>
      </w:pPr>
      <w:r>
        <w:rPr>
          <w:rFonts w:eastAsia="等线" w:ascii="Arial" w:cs="Arial" w:hAnsi="Arial"/>
          <w:sz w:val="22"/>
        </w:rPr>
        <w:t>文字记录</w:t>
      </w:r>
    </w:p>
    <w:p>
      <w:pPr>
        <w:numPr>
          <w:numId w:val="23"/>
        </w:numPr>
        <w:spacing w:before="120" w:after="120" w:line="288" w:lineRule="auto"/>
        <w:ind w:left="453"/>
        <w:jc w:val="left"/>
      </w:pPr>
      <w:hyperlink r:id="rId13">
        <w:r>
          <w:rPr>
            <w:rFonts w:eastAsia="等线" w:ascii="Arial" w:cs="Arial" w:hAnsi="Arial"/>
            <w:color w:val="3370ff"/>
            <w:sz w:val="22"/>
          </w:rPr>
          <w:t>42、教你看懂学校的就业性价比 2026年1月22日</w:t>
        </w:r>
      </w:hyperlink>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44">
    <w:lvl>
      <w:numFmt w:val="bullet"/>
      <w:suff w:val="tab"/>
      <w:lvlText w:val="•"/>
      <w:rPr>
        <w:color w:val="3370ff"/>
      </w:rPr>
    </w:lvl>
  </w:abstractNum>
  <w:abstractNum w:abstractNumId="2445">
    <w:lvl>
      <w:numFmt w:val="bullet"/>
      <w:suff w:val="tab"/>
      <w:lvlText w:val="￮"/>
      <w:rPr>
        <w:color w:val="3370ff"/>
      </w:rPr>
    </w:lvl>
  </w:abstractNum>
  <w:abstractNum w:abstractNumId="2446">
    <w:lvl>
      <w:numFmt w:val="bullet"/>
      <w:suff w:val="tab"/>
      <w:lvlText w:val="•"/>
      <w:rPr>
        <w:color w:val="3370ff"/>
      </w:rPr>
    </w:lvl>
  </w:abstractNum>
  <w:abstractNum w:abstractNumId="2447">
    <w:lvl>
      <w:numFmt w:val="bullet"/>
      <w:suff w:val="tab"/>
      <w:lvlText w:val="▪"/>
      <w:rPr>
        <w:color w:val="3370ff"/>
        <w:sz w:val="11"/>
      </w:rPr>
    </w:lvl>
  </w:abstractNum>
  <w:abstractNum w:abstractNumId="2448">
    <w:lvl>
      <w:numFmt w:val="bullet"/>
      <w:suff w:val="tab"/>
      <w:lvlText w:val="￮"/>
      <w:rPr>
        <w:color w:val="3370ff"/>
      </w:rPr>
    </w:lvl>
  </w:abstractNum>
  <w:abstractNum w:abstractNumId="2449">
    <w:lvl>
      <w:numFmt w:val="bullet"/>
      <w:suff w:val="tab"/>
      <w:lvlText w:val="▪"/>
      <w:rPr>
        <w:color w:val="3370ff"/>
        <w:sz w:val="11"/>
      </w:rPr>
    </w:lvl>
  </w:abstractNum>
  <w:abstractNum w:abstractNumId="2450">
    <w:lvl>
      <w:numFmt w:val="bullet"/>
      <w:suff w:val="tab"/>
      <w:lvlText w:val="▪"/>
      <w:rPr>
        <w:color w:val="3370ff"/>
        <w:sz w:val="11"/>
      </w:rPr>
    </w:lvl>
  </w:abstractNum>
  <w:abstractNum w:abstractNumId="2451">
    <w:lvl>
      <w:numFmt w:val="bullet"/>
      <w:suff w:val="tab"/>
      <w:lvlText w:val="￮"/>
      <w:rPr>
        <w:color w:val="3370ff"/>
      </w:rPr>
    </w:lvl>
  </w:abstractNum>
  <w:abstractNum w:abstractNumId="2452">
    <w:lvl>
      <w:numFmt w:val="bullet"/>
      <w:suff w:val="tab"/>
      <w:lvlText w:val="•"/>
      <w:rPr>
        <w:color w:val="3370ff"/>
      </w:rPr>
    </w:lvl>
  </w:abstractNum>
  <w:abstractNum w:abstractNumId="2453">
    <w:lvl>
      <w:numFmt w:val="bullet"/>
      <w:suff w:val="tab"/>
      <w:lvlText w:val="￮"/>
      <w:rPr>
        <w:color w:val="3370ff"/>
      </w:rPr>
    </w:lvl>
  </w:abstractNum>
  <w:abstractNum w:abstractNumId="2454">
    <w:lvl>
      <w:numFmt w:val="bullet"/>
      <w:suff w:val="tab"/>
      <w:lvlText w:val="￮"/>
      <w:rPr>
        <w:color w:val="3370ff"/>
      </w:rPr>
    </w:lvl>
  </w:abstractNum>
  <w:abstractNum w:abstractNumId="2455">
    <w:lvl>
      <w:numFmt w:val="bullet"/>
      <w:suff w:val="tab"/>
      <w:lvlText w:val="•"/>
      <w:rPr>
        <w:color w:val="3370ff"/>
      </w:rPr>
    </w:lvl>
  </w:abstractNum>
  <w:abstractNum w:abstractNumId="2456">
    <w:lvl>
      <w:numFmt w:val="bullet"/>
      <w:suff w:val="tab"/>
      <w:lvlText w:val="￮"/>
      <w:rPr>
        <w:color w:val="3370ff"/>
      </w:rPr>
    </w:lvl>
  </w:abstractNum>
  <w:abstractNum w:abstractNumId="2457">
    <w:lvl>
      <w:numFmt w:val="bullet"/>
      <w:suff w:val="tab"/>
      <w:lvlText w:val="▪"/>
      <w:rPr>
        <w:color w:val="3370ff"/>
        <w:sz w:val="11"/>
      </w:rPr>
    </w:lvl>
  </w:abstractNum>
  <w:abstractNum w:abstractNumId="2458">
    <w:lvl>
      <w:numFmt w:val="bullet"/>
      <w:suff w:val="tab"/>
      <w:lvlText w:val="▪"/>
      <w:rPr>
        <w:color w:val="3370ff"/>
        <w:sz w:val="11"/>
      </w:rPr>
    </w:lvl>
  </w:abstractNum>
  <w:abstractNum w:abstractNumId="2459">
    <w:lvl>
      <w:numFmt w:val="bullet"/>
      <w:suff w:val="tab"/>
      <w:lvlText w:val="￮"/>
      <w:rPr>
        <w:color w:val="3370ff"/>
      </w:rPr>
    </w:lvl>
  </w:abstractNum>
  <w:abstractNum w:abstractNumId="2460">
    <w:lvl>
      <w:numFmt w:val="bullet"/>
      <w:suff w:val="tab"/>
      <w:lvlText w:val="•"/>
      <w:rPr>
        <w:color w:val="3370ff"/>
      </w:rPr>
    </w:lvl>
  </w:abstractNum>
  <w:abstractNum w:abstractNumId="2461">
    <w:lvl>
      <w:numFmt w:val="bullet"/>
      <w:suff w:val="tab"/>
      <w:lvlText w:val="•"/>
      <w:rPr>
        <w:color w:val="3370ff"/>
      </w:rPr>
    </w:lvl>
  </w:abstractNum>
  <w:abstractNum w:abstractNumId="2462">
    <w:lvl>
      <w:numFmt w:val="bullet"/>
      <w:suff w:val="tab"/>
      <w:lvlText w:val="•"/>
      <w:rPr>
        <w:color w:val="3370ff"/>
      </w:rPr>
    </w:lvl>
  </w:abstractNum>
  <w:abstractNum w:abstractNumId="2463">
    <w:lvl>
      <w:numFmt w:val="bullet"/>
      <w:suff w:val="tab"/>
      <w:lvlText w:val="•"/>
      <w:rPr>
        <w:color w:val="3370ff"/>
      </w:rPr>
    </w:lvl>
  </w:abstractNum>
  <w:abstractNum w:abstractNumId="2464">
    <w:lvl>
      <w:numFmt w:val="bullet"/>
      <w:suff w:val="tab"/>
      <w:lvlText w:val="•"/>
      <w:rPr>
        <w:color w:val="3370ff"/>
      </w:rPr>
    </w:lvl>
  </w:abstractNum>
  <w:abstractNum w:abstractNumId="2465">
    <w:lvl>
      <w:numFmt w:val="bullet"/>
      <w:suff w:val="tab"/>
      <w:lvlText w:val="•"/>
      <w:rPr>
        <w:color w:val="3370ff"/>
      </w:rPr>
    </w:lvl>
  </w:abstractNum>
  <w:abstractNum w:abstractNumId="2466">
    <w:lvl>
      <w:numFmt w:val="bullet"/>
      <w:suff w:val="tab"/>
      <w:lvlText w:val="￮"/>
      <w:rPr>
        <w:color w:val="3370ff"/>
      </w:rPr>
    </w:lvl>
  </w:abstractNum>
  <w:num w:numId="1">
    <w:abstractNumId w:val="2444"/>
  </w:num>
  <w:num w:numId="2">
    <w:abstractNumId w:val="2445"/>
  </w:num>
  <w:num w:numId="3">
    <w:abstractNumId w:val="2446"/>
  </w:num>
  <w:num w:numId="4">
    <w:abstractNumId w:val="2447"/>
  </w:num>
  <w:num w:numId="5">
    <w:abstractNumId w:val="2448"/>
  </w:num>
  <w:num w:numId="6">
    <w:abstractNumId w:val="2449"/>
  </w:num>
  <w:num w:numId="7">
    <w:abstractNumId w:val="2450"/>
  </w:num>
  <w:num w:numId="8">
    <w:abstractNumId w:val="2451"/>
  </w:num>
  <w:num w:numId="9">
    <w:abstractNumId w:val="2452"/>
  </w:num>
  <w:num w:numId="10">
    <w:abstractNumId w:val="2453"/>
  </w:num>
  <w:num w:numId="11">
    <w:abstractNumId w:val="2454"/>
  </w:num>
  <w:num w:numId="12">
    <w:abstractNumId w:val="2455"/>
  </w:num>
  <w:num w:numId="13">
    <w:abstractNumId w:val="2456"/>
  </w:num>
  <w:num w:numId="14">
    <w:abstractNumId w:val="2457"/>
  </w:num>
  <w:num w:numId="15">
    <w:abstractNumId w:val="2458"/>
  </w:num>
  <w:num w:numId="16">
    <w:abstractNumId w:val="2459"/>
  </w:num>
  <w:num w:numId="17">
    <w:abstractNumId w:val="2460"/>
  </w:num>
  <w:num w:numId="18">
    <w:abstractNumId w:val="2461"/>
  </w:num>
  <w:num w:numId="19">
    <w:abstractNumId w:val="2462"/>
  </w:num>
  <w:num w:numId="20">
    <w:abstractNumId w:val="2463"/>
  </w:num>
  <w:num w:numId="21">
    <w:abstractNumId w:val="2464"/>
  </w:num>
  <w:num w:numId="22">
    <w:abstractNumId w:val="2465"/>
  </w:num>
  <w:num w:numId="23">
    <w:abstractNumId w:val="24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h5r621vvm756125ha6?t=596000" TargetMode="External" Type="http://schemas.openxmlformats.org/officeDocument/2006/relationships/hyperlink"/><Relationship Id="rId11" Target="https://hcnytq72r1ge.feishu.cn/minutes/obcnfoh5r621vvm756125ha6?t=997000" TargetMode="External" Type="http://schemas.openxmlformats.org/officeDocument/2006/relationships/hyperlink"/><Relationship Id="rId12" Target="https://hcnytq72r1ge.feishu.cn/minutes/obcnfoh5r621vvm756125ha6?from=ai_minutes" TargetMode="External" Type="http://schemas.openxmlformats.org/officeDocument/2006/relationships/hyperlink"/><Relationship Id="rId13" Target="https://hcnytq72r1ge.feishu.cn/docx/IBgYda5MdoSVwDxgUihc4lxZnn8"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h5r621vvm756125ha6?t=0" TargetMode="External" Type="http://schemas.openxmlformats.org/officeDocument/2006/relationships/hyperlink"/><Relationship Id="rId9" Target="https://hcnytq72r1ge.feishu.cn/minutes/obcnfoh5r621vvm756125ha6?t=369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2026-01-26T09:02:29Z</dcterms:created>
  <dc:creator>Apache POI</dc:creator>
</cp:coreProperties>
</file>