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智能纪要：44、Q：考得上=提分快+报得好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会议主题：44、Q：考得上=提分快+报得好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22:25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956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本次会议围绕高考志愿填报展开，说话人强调志愿填报需考虑诸多因素，介绍了通过APP解决填报难题的方法，内容如下：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志愿填报的影响因素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636"/>
        <w:gridCol w:w="414"/>
        <w:gridCol w:w="2815"/>
        <w:gridCol w:w="414"/>
      </w:tblGrid>
      <w:tr>
        <w:tc>
          <w:tcPr>
            <w:tcW w:w="463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条件种类繁杂</w:t>
            </w:r>
            <w:r>
              <w:rPr>
                <w:rFonts w:eastAsia="等线" w:ascii="Arial" w:cs="Arial" w:hAnsi="Arial"/>
                <w:sz w:val="22"/>
              </w:rPr>
              <w:t>：说话人1表示，高校招生条件涵盖选科、选课、户籍、少数民族身份等。部分特殊专业还有额外要求，如军队招考对视力、身高有规定，部分医学院外科专业要求右撇子，空乘专业对身高有严格限制。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分数至关重要</w:t>
            </w:r>
            <w:r>
              <w:rPr>
                <w:rFonts w:eastAsia="等线" w:ascii="Arial" w:cs="Arial" w:hAnsi="Arial"/>
                <w:sz w:val="22"/>
              </w:rPr>
              <w:t>：说话人1认为，分数是决定能否被高校录取的关键因素，预估分数和计算录取概率是复杂的计算问题，需考虑众多因素。</w:t>
            </w:r>
          </w:p>
        </w:tc>
        <w:tc>
          <w:tcPr>
            <w:tcW w:w="41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28775" cy="125730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特殊专业招生限制条件</w:t>
              <w:br/>
            </w:r>
          </w:p>
        </w:tc>
        <w:tc>
          <w:tcPr>
            <w:tcW w:w="41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志愿填报的预估方法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冲稳保策略</w:t>
      </w:r>
      <w:r>
        <w:rPr>
          <w:rFonts w:eastAsia="等线" w:ascii="Arial" w:cs="Arial" w:hAnsi="Arial"/>
          <w:sz w:val="22"/>
        </w:rPr>
        <w:t>：说话人1提到，在大部分省份的大部分批次实行平行志愿的情况下，可采用冲稳保策略，通过换算位次等效分，将今年的分数换算成去年某学校招录分数，以此判断能否报考该学校。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计算量巨大</w:t>
      </w:r>
      <w:r>
        <w:rPr>
          <w:rFonts w:eastAsia="等线" w:ascii="Arial" w:cs="Arial" w:hAnsi="Arial"/>
          <w:sz w:val="22"/>
        </w:rPr>
        <w:t>：说话人1指出，若要计算多个学校和专业的录取情况，计算量极大，而道德APP和完美志愿APP可解决这一难题。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APP在志愿填报中的应用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APP功能强大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提供录取信息：说话人1举例说明，打开APP输入学校和专业名称，如深圳大学计算机专业，APP会直接告知能否报考，并展示该学校专业往年的招录情况和历史分数。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解决填报难题：说话人1表示，通过APP的语音功能，可快速找到能报考的特定专业的所有大学，原本咨询师手动完成需数小时的填报工作，借助APP的大数据计算可轻松完成。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APP优势明显</w:t>
      </w:r>
    </w:p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节省成本：说话人1指出，市场上志愿填报服务平均收费 5000 元，每个老师平均耗时两小时，而APP可降低成本。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独家功能：说话人1强调，该APP具有独家就业数据和语音控制功能，这是其他产品所不具备的。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00:01</w:t>
        </w:r>
      </w:hyperlink>
      <w:r>
        <w:rPr>
          <w:rFonts w:eastAsia="等线" w:ascii="Arial" w:cs="Arial" w:hAnsi="Arial"/>
          <w:b w:val="true"/>
          <w:sz w:val="22"/>
        </w:rPr>
        <w:t xml:space="preserve">  高考报考“能上”条件及录取概率计算因素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讨论高考报考“能上”的问题。指出若想进入理想院校，有自身条件达标和分数够两种方式。自身条件涉及选科、户籍、视力、身高、惯用手等多方面。而分数是最大条件，预估能否达到录取分数线是个计算量很大且复杂的问题，需考虑诸多因素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02:18</w:t>
        </w:r>
      </w:hyperlink>
      <w:r>
        <w:rPr>
          <w:rFonts w:eastAsia="等线" w:ascii="Arial" w:cs="Arial" w:hAnsi="Arial"/>
          <w:b w:val="true"/>
          <w:sz w:val="22"/>
        </w:rPr>
        <w:t xml:space="preserve">  平行志愿报考预估及APP查询招录情况介绍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本章节介绍了平行志愿下志愿填报的预估方法，可通过冲稳保策略和换算位次等效分预估能否上某学校。但计算学校和专业数量多，较复杂，推荐使用 APP 如道德 APP、完美志愿 APP 解决。打开 APP 输入专业，能直接得知能否报考，还能查看专业往年招录情况和历史分数，方便又快捷。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03:56</w:t>
        </w:r>
      </w:hyperlink>
      <w:r>
        <w:rPr>
          <w:rFonts w:eastAsia="等线" w:ascii="Arial" w:cs="Arial" w:hAnsi="Arial"/>
          <w:b w:val="true"/>
          <w:sz w:val="22"/>
        </w:rPr>
        <w:t xml:space="preserve">  用 APP 大数据计算助力高考志愿填报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本章节主要介绍了填报志愿时利用软件的便捷性。以选择计算机专业为例，若想找出能上该专业的大学，手动操作让咨询师来做需几个小时，而通过软件结合大数据计算，只需打开 APP 语音提问就能轻松完成。后续自己或帮孩子填报志愿，掏出软件说句话基本就能搞定。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04:48</w:t>
        </w:r>
      </w:hyperlink>
      <w:r>
        <w:rPr>
          <w:rFonts w:eastAsia="等线" w:ascii="Arial" w:cs="Arial" w:hAnsi="Arial"/>
          <w:b w:val="true"/>
          <w:sz w:val="22"/>
        </w:rPr>
        <w:t xml:space="preserve">  志愿填报收费、耗时及产品独家优势介绍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志愿填报展开。说话人提到目前市场上填报一个志愿全国平均价格为5000元，每个老师平均花费两小时，原因是有相关产品支持可快速给出答案。还强调该产品的优势，绝大多数产品没有就业数据，而此产品有，且语音控制功能为独家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：推荐使用道德 APP 和完美志愿 APP 进行高考志愿填报。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：如何简便、准确地预估高考录取概率和完成志愿填报。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 1 提出通过考虑各种限制条件（如分数、选科、户籍、视力、身高、左右手习惯等）来预估录取概率，但计算量巨大。</w:t>
      </w:r>
    </w:p>
    <w:p>
      <w:pPr>
        <w:numPr>
          <w:numId w:val="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 1 提出在平行志愿情况下，可通过冲稳保策略和换算位次等效分进行简单预估。</w:t>
      </w:r>
    </w:p>
    <w:p>
      <w:pPr>
        <w:numPr>
          <w:numId w:val="1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 1 推荐使用道德 APP 和完美志愿 APP，能直接告知能否被某学校某专业录取，还能通过语音操作快速完成复杂的志愿填报工作。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：软件可利用大数据计算解决复杂的志愿填报问题，节省时间和精力，且具有市场上其他产品没有的就业数据和语音控制功能。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其他决策</w:t>
      </w:r>
      <w:r>
        <w:rPr>
          <w:rFonts w:eastAsia="等线" w:ascii="Arial" w:cs="Arial" w:hAnsi="Arial"/>
          <w:sz w:val="22"/>
        </w:rPr>
        <w:t>：无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「在绝大部分省份的绝大部分批次实行平行志愿的情况下，可以通过冲稳保策略，换算位次等效分，把今年的分数换算成去年某学校招录的分数，以此简单预估能否被该学校录取，判断是冲、稳还是保。」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提供了一种在平行志愿下简单预估高考录取情况的有效方法，突出了会议关于高考志愿填报的核心内容。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「原本咨询师手动完成志愿填报工作需要好几个小时，现在通过软件利用大数据计算可以很容易地完成。」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强调了软件在志愿填报工作中的高效性，体现了使用软件进行志愿填报的优势。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「目前市场上绝大多数产品没有就业数据，用语音控制进行志愿填报是我们产品的独家功能。」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突出了推荐产品的独特优势，能让读者快速了解该产品的竞争力。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1">
        <w:r>
          <w:rPr>
            <w:rFonts w:eastAsia="等线" w:ascii="Arial" w:cs="Arial" w:hAnsi="Arial"/>
            <w:color w:val="3370ff"/>
            <w:sz w:val="22"/>
          </w:rPr>
          <w:t>44、Q：考得上=提分快+报得好</w:t>
        </w:r>
      </w:hyperlink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44、Q：考得上=提分快+报得好 2026年1月22日</w:t>
        </w:r>
      </w:hyperlink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9776">
    <w:lvl>
      <w:numFmt w:val="bullet"/>
      <w:suff w:val="tab"/>
      <w:lvlText w:val="•"/>
      <w:rPr>
        <w:color w:val="3370ff"/>
      </w:rPr>
    </w:lvl>
  </w:abstractNum>
  <w:abstractNum w:abstractNumId="109777">
    <w:lvl>
      <w:numFmt w:val="bullet"/>
      <w:suff w:val="tab"/>
      <w:lvlText w:val="•"/>
      <w:rPr>
        <w:color w:val="3370ff"/>
      </w:rPr>
    </w:lvl>
  </w:abstractNum>
  <w:abstractNum w:abstractNumId="109778">
    <w:lvl>
      <w:numFmt w:val="bullet"/>
      <w:suff w:val="tab"/>
      <w:lvlText w:val="•"/>
      <w:rPr>
        <w:color w:val="3370ff"/>
      </w:rPr>
    </w:lvl>
  </w:abstractNum>
  <w:abstractNum w:abstractNumId="109779">
    <w:lvl>
      <w:numFmt w:val="bullet"/>
      <w:suff w:val="tab"/>
      <w:lvlText w:val="•"/>
      <w:rPr>
        <w:color w:val="3370ff"/>
      </w:rPr>
    </w:lvl>
  </w:abstractNum>
  <w:abstractNum w:abstractNumId="109780">
    <w:lvl>
      <w:numFmt w:val="bullet"/>
      <w:suff w:val="tab"/>
      <w:lvlText w:val="￮"/>
      <w:rPr>
        <w:color w:val="3370ff"/>
      </w:rPr>
    </w:lvl>
  </w:abstractNum>
  <w:abstractNum w:abstractNumId="109781">
    <w:lvl>
      <w:numFmt w:val="bullet"/>
      <w:suff w:val="tab"/>
      <w:lvlText w:val="￮"/>
      <w:rPr>
        <w:color w:val="3370ff"/>
      </w:rPr>
    </w:lvl>
  </w:abstractNum>
  <w:abstractNum w:abstractNumId="109782">
    <w:lvl>
      <w:numFmt w:val="bullet"/>
      <w:suff w:val="tab"/>
      <w:lvlText w:val="•"/>
      <w:rPr>
        <w:color w:val="3370ff"/>
      </w:rPr>
    </w:lvl>
  </w:abstractNum>
  <w:abstractNum w:abstractNumId="109783">
    <w:lvl>
      <w:numFmt w:val="bullet"/>
      <w:suff w:val="tab"/>
      <w:lvlText w:val="￮"/>
      <w:rPr>
        <w:color w:val="3370ff"/>
      </w:rPr>
    </w:lvl>
  </w:abstractNum>
  <w:abstractNum w:abstractNumId="109784">
    <w:lvl>
      <w:numFmt w:val="bullet"/>
      <w:suff w:val="tab"/>
      <w:lvlText w:val="▪"/>
      <w:rPr>
        <w:color w:val="3370ff"/>
        <w:sz w:val="11"/>
      </w:rPr>
    </w:lvl>
  </w:abstractNum>
  <w:abstractNum w:abstractNumId="109785">
    <w:lvl>
      <w:numFmt w:val="bullet"/>
      <w:suff w:val="tab"/>
      <w:lvlText w:val="▪"/>
      <w:rPr>
        <w:color w:val="3370ff"/>
        <w:sz w:val="11"/>
      </w:rPr>
    </w:lvl>
  </w:abstractNum>
  <w:abstractNum w:abstractNumId="109786">
    <w:lvl>
      <w:numFmt w:val="bullet"/>
      <w:suff w:val="tab"/>
      <w:lvlText w:val="￮"/>
      <w:rPr>
        <w:color w:val="3370ff"/>
      </w:rPr>
    </w:lvl>
  </w:abstractNum>
  <w:abstractNum w:abstractNumId="109787">
    <w:lvl>
      <w:numFmt w:val="bullet"/>
      <w:suff w:val="tab"/>
      <w:lvlText w:val="▪"/>
      <w:rPr>
        <w:color w:val="3370ff"/>
        <w:sz w:val="11"/>
      </w:rPr>
    </w:lvl>
  </w:abstractNum>
  <w:abstractNum w:abstractNumId="109788">
    <w:lvl>
      <w:numFmt w:val="bullet"/>
      <w:suff w:val="tab"/>
      <w:lvlText w:val="▪"/>
      <w:rPr>
        <w:color w:val="3370ff"/>
        <w:sz w:val="11"/>
      </w:rPr>
    </w:lvl>
  </w:abstractNum>
  <w:abstractNum w:abstractNumId="109789">
    <w:lvl>
      <w:numFmt w:val="bullet"/>
      <w:suff w:val="tab"/>
      <w:lvlText w:val="•"/>
      <w:rPr>
        <w:color w:val="3370ff"/>
      </w:rPr>
    </w:lvl>
  </w:abstractNum>
  <w:abstractNum w:abstractNumId="109790">
    <w:lvl>
      <w:numFmt w:val="bullet"/>
      <w:suff w:val="tab"/>
      <w:lvlText w:val="￮"/>
      <w:rPr>
        <w:color w:val="3370ff"/>
      </w:rPr>
    </w:lvl>
  </w:abstractNum>
  <w:abstractNum w:abstractNumId="109791">
    <w:lvl>
      <w:numFmt w:val="bullet"/>
      <w:suff w:val="tab"/>
      <w:lvlText w:val="￮"/>
      <w:rPr>
        <w:color w:val="3370ff"/>
      </w:rPr>
    </w:lvl>
  </w:abstractNum>
  <w:abstractNum w:abstractNumId="109792">
    <w:lvl>
      <w:numFmt w:val="bullet"/>
      <w:suff w:val="tab"/>
      <w:lvlText w:val="▪"/>
      <w:rPr>
        <w:color w:val="3370ff"/>
        <w:sz w:val="11"/>
      </w:rPr>
    </w:lvl>
  </w:abstractNum>
  <w:abstractNum w:abstractNumId="109793">
    <w:lvl>
      <w:numFmt w:val="bullet"/>
      <w:suff w:val="tab"/>
      <w:lvlText w:val="▪"/>
      <w:rPr>
        <w:color w:val="3370ff"/>
        <w:sz w:val="11"/>
      </w:rPr>
    </w:lvl>
  </w:abstractNum>
  <w:abstractNum w:abstractNumId="109794">
    <w:lvl>
      <w:numFmt w:val="bullet"/>
      <w:suff w:val="tab"/>
      <w:lvlText w:val="▪"/>
      <w:rPr>
        <w:color w:val="3370ff"/>
        <w:sz w:val="11"/>
      </w:rPr>
    </w:lvl>
  </w:abstractNum>
  <w:abstractNum w:abstractNumId="109795">
    <w:lvl>
      <w:numFmt w:val="bullet"/>
      <w:suff w:val="tab"/>
      <w:lvlText w:val="￮"/>
      <w:rPr>
        <w:color w:val="3370ff"/>
      </w:rPr>
    </w:lvl>
  </w:abstractNum>
  <w:abstractNum w:abstractNumId="109796">
    <w:lvl>
      <w:numFmt w:val="bullet"/>
      <w:suff w:val="tab"/>
      <w:lvlText w:val="•"/>
      <w:rPr>
        <w:color w:val="3370ff"/>
      </w:rPr>
    </w:lvl>
  </w:abstractNum>
  <w:abstractNum w:abstractNumId="109797">
    <w:lvl>
      <w:numFmt w:val="bullet"/>
      <w:suff w:val="tab"/>
      <w:lvlText w:val="•"/>
      <w:rPr>
        <w:color w:val="3370ff"/>
      </w:rPr>
    </w:lvl>
  </w:abstractNum>
  <w:abstractNum w:abstractNumId="109798">
    <w:lvl>
      <w:numFmt w:val="bullet"/>
      <w:suff w:val="tab"/>
      <w:lvlText w:val="•"/>
      <w:rPr>
        <w:color w:val="3370ff"/>
      </w:rPr>
    </w:lvl>
  </w:abstractNum>
  <w:abstractNum w:abstractNumId="109799">
    <w:lvl>
      <w:numFmt w:val="bullet"/>
      <w:suff w:val="tab"/>
      <w:lvlText w:val="￮"/>
      <w:rPr>
        <w:color w:val="3370ff"/>
      </w:rPr>
    </w:lvl>
  </w:abstractNum>
  <w:num w:numId="1">
    <w:abstractNumId w:val="109776"/>
  </w:num>
  <w:num w:numId="2">
    <w:abstractNumId w:val="109777"/>
  </w:num>
  <w:num w:numId="3">
    <w:abstractNumId w:val="109778"/>
  </w:num>
  <w:num w:numId="4">
    <w:abstractNumId w:val="109779"/>
  </w:num>
  <w:num w:numId="5">
    <w:abstractNumId w:val="109780"/>
  </w:num>
  <w:num w:numId="6">
    <w:abstractNumId w:val="109781"/>
  </w:num>
  <w:num w:numId="7">
    <w:abstractNumId w:val="109782"/>
  </w:num>
  <w:num w:numId="8">
    <w:abstractNumId w:val="109783"/>
  </w:num>
  <w:num w:numId="9">
    <w:abstractNumId w:val="109784"/>
  </w:num>
  <w:num w:numId="10">
    <w:abstractNumId w:val="109785"/>
  </w:num>
  <w:num w:numId="11">
    <w:abstractNumId w:val="109786"/>
  </w:num>
  <w:num w:numId="12">
    <w:abstractNumId w:val="109787"/>
  </w:num>
  <w:num w:numId="13">
    <w:abstractNumId w:val="109788"/>
  </w:num>
  <w:num w:numId="14">
    <w:abstractNumId w:val="109789"/>
  </w:num>
  <w:num w:numId="15">
    <w:abstractNumId w:val="109790"/>
  </w:num>
  <w:num w:numId="16">
    <w:abstractNumId w:val="109791"/>
  </w:num>
  <w:num w:numId="17">
    <w:abstractNumId w:val="109792"/>
  </w:num>
  <w:num w:numId="18">
    <w:abstractNumId w:val="109793"/>
  </w:num>
  <w:num w:numId="19">
    <w:abstractNumId w:val="109794"/>
  </w:num>
  <w:num w:numId="20">
    <w:abstractNumId w:val="109795"/>
  </w:num>
  <w:num w:numId="21">
    <w:abstractNumId w:val="109796"/>
  </w:num>
  <w:num w:numId="22">
    <w:abstractNumId w:val="109797"/>
  </w:num>
  <w:num w:numId="23">
    <w:abstractNumId w:val="109798"/>
  </w:num>
  <w:num w:numId="24">
    <w:abstractNumId w:val="10979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o56r38as358sw29it1j?t=288000" TargetMode="External" Type="http://schemas.openxmlformats.org/officeDocument/2006/relationships/hyperlink"/><Relationship Id="rId11" Target="https://hcnytq72r1ge.feishu.cn/minutes/obcnfo56r38as358sw29it1j?from=ai_minutes" TargetMode="External" Type="http://schemas.openxmlformats.org/officeDocument/2006/relationships/hyperlink"/><Relationship Id="rId12" Target="https://hcnytq72r1ge.feishu.cn/docx/RIggdss9Go5nOUxmxuNc1V2snud" TargetMode="External" Type="http://schemas.openxmlformats.org/officeDocument/2006/relationships/hyperlink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ttps://hcnytq72r1ge.feishu.cn/minutes/obcnfo56r38as358sw29it1j?t=1000" TargetMode="External" Type="http://schemas.openxmlformats.org/officeDocument/2006/relationships/hyperlink"/><Relationship Id="rId8" Target="https://hcnytq72r1ge.feishu.cn/minutes/obcnfo56r38as358sw29it1j?t=138000" TargetMode="External" Type="http://schemas.openxmlformats.org/officeDocument/2006/relationships/hyperlink"/><Relationship Id="rId9" Target="https://hcnytq72r1ge.feishu.cn/minutes/obcnfo56r38as358sw29it1j?t=236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2026-01-26T09:04:23Z</dcterms:created>
  <dc:creator>Apache POI</dc:creator>
</cp:coreProperties>
</file>