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智能纪要：46、读研读博，竟有这些危害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会议主题：46、读研读博，竟有这些危害</w:t>
            </w:r>
          </w:p>
          <w:p>
            <w:pPr>
              <w:spacing w:before="120" w:after="120" w:line="288" w:lineRule="auto"/>
              <w:ind w:left="0"/>
              <w:jc w:val="left"/>
            </w:pPr>
            <w:r>
              <w:rPr>
                <w:rFonts w:eastAsia="等线" w:ascii="Arial" w:cs="Arial" w:hAnsi="Arial"/>
                <w:color w:val="646a73"/>
                <w:sz w:val="22"/>
              </w:rPr>
              <w:t>上传时间：1月22号（周四） 22:25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2289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28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本次会议围绕读研读博的危害、利弊、本质、就业及选择建议等方面进行了深入探讨，内容如下：</w:t>
      </w:r>
    </w:p>
    <w:p>
      <w:pPr>
        <w:numPr>
          <w:numId w:val="1"/>
        </w:numPr>
        <w:spacing w:before="120" w:after="120" w:line="288" w:lineRule="auto"/>
        <w:ind w:left="0"/>
        <w:jc w:val="left"/>
      </w:pPr>
      <w:r>
        <w:rPr>
          <w:rFonts w:eastAsia="等线" w:ascii="Arial" w:cs="Arial" w:hAnsi="Arial"/>
          <w:b w:val="true"/>
          <w:sz w:val="22"/>
        </w:rPr>
        <w:t>读研的利弊</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216"/>
        <w:gridCol w:w="3063"/>
      </w:tblGrid>
      <w:tr>
        <w:tc>
          <w:tcPr>
            <w:tcW w:w="5216"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b w:val="true"/>
                <w:sz w:val="22"/>
              </w:rPr>
              <w:t>读研的好处</w:t>
            </w:r>
          </w:p>
          <w:p>
            <w:pPr>
              <w:numPr>
                <w:numId w:val="3"/>
              </w:numPr>
              <w:spacing w:before="120" w:after="120" w:line="288" w:lineRule="auto"/>
              <w:ind w:left="453"/>
              <w:jc w:val="left"/>
            </w:pPr>
            <w:r>
              <w:rPr>
                <w:rFonts w:eastAsia="等线" w:ascii="Arial" w:cs="Arial" w:hAnsi="Arial"/>
                <w:sz w:val="22"/>
              </w:rPr>
              <w:t>提升竞争力：部分专业如金融专业，虽本科生通过实践经验也能获得技能提升，但很多金融公司招聘要求硕士研究生，读研可让学历更光鲜，在一定程度上提升竞争力。说话人1还举例，在找男女朋友时，高学历可能更有优势。</w:t>
            </w:r>
          </w:p>
          <w:p>
            <w:pPr>
              <w:numPr>
                <w:numId w:val="4"/>
              </w:numPr>
              <w:spacing w:before="120" w:after="120" w:line="288" w:lineRule="auto"/>
              <w:ind w:left="453"/>
              <w:jc w:val="left"/>
            </w:pPr>
            <w:r>
              <w:rPr>
                <w:rFonts w:eastAsia="等线" w:ascii="Arial" w:cs="Arial" w:hAnsi="Arial"/>
                <w:sz w:val="22"/>
              </w:rPr>
              <w:t>专业技能提升：专业技能特别强的领域，如工程类、理论类专业，读硕士会提升竞争力，因为这些专业对专业要求高。</w:t>
            </w:r>
          </w:p>
          <w:p>
            <w:pPr>
              <w:numPr>
                <w:numId w:val="5"/>
              </w:numPr>
              <w:spacing w:before="120" w:after="120" w:line="288" w:lineRule="auto"/>
              <w:ind w:left="0"/>
              <w:jc w:val="left"/>
            </w:pPr>
            <w:r>
              <w:rPr>
                <w:rFonts w:eastAsia="等线" w:ascii="Arial" w:cs="Arial" w:hAnsi="Arial"/>
                <w:b w:val="true"/>
                <w:sz w:val="22"/>
              </w:rPr>
              <w:t>读研的危害</w:t>
            </w:r>
          </w:p>
          <w:p>
            <w:pPr>
              <w:numPr>
                <w:numId w:val="6"/>
              </w:numPr>
              <w:spacing w:before="120" w:after="120" w:line="288" w:lineRule="auto"/>
              <w:ind w:left="453"/>
              <w:jc w:val="left"/>
            </w:pPr>
            <w:r>
              <w:rPr>
                <w:rFonts w:eastAsia="等线" w:ascii="Arial" w:cs="Arial" w:hAnsi="Arial"/>
                <w:sz w:val="22"/>
              </w:rPr>
              <w:t>薪资提升不明显：统计显示70%的硕士专业不会带来薪资竞争力的提升，薪资与本科生相比变化不大。</w:t>
            </w:r>
          </w:p>
          <w:p>
            <w:pPr>
              <w:numPr>
                <w:numId w:val="7"/>
              </w:numPr>
              <w:spacing w:before="120" w:after="120" w:line="288" w:lineRule="auto"/>
              <w:ind w:left="453"/>
              <w:jc w:val="left"/>
            </w:pPr>
            <w:r>
              <w:rPr>
                <w:rFonts w:eastAsia="等线" w:ascii="Arial" w:cs="Arial" w:hAnsi="Arial"/>
                <w:sz w:val="22"/>
              </w:rPr>
              <w:t>就业面变窄：当履历上多了硕士身份，一些对学历无要求的工作岗位会对其关上大门，导致就业选择面变窄。说话人1举例，有孩子找不到工作，把本科学历抹掉，用高中学历应聘。</w:t>
            </w:r>
          </w:p>
          <w:p>
            <w:pPr>
              <w:numPr>
                <w:numId w:val="8"/>
              </w:numPr>
              <w:spacing w:before="120" w:after="120" w:line="288" w:lineRule="auto"/>
              <w:ind w:left="453"/>
              <w:jc w:val="left"/>
            </w:pPr>
            <w:r>
              <w:rPr>
                <w:rFonts w:eastAsia="等线" w:ascii="Arial" w:cs="Arial" w:hAnsi="Arial"/>
                <w:sz w:val="22"/>
              </w:rPr>
              <w:t>部分专业读研无用：工商管理、汉语言文学、电子商务等偏文专业读研用处不大，只是为了逃避就业而浪费两三年时间。</w:t>
            </w:r>
          </w:p>
        </w:tc>
        <w:tc>
          <w:tcPr>
            <w:tcW w:w="3063" w:type="dxa"/>
            <w:tcMar>
              <w:top w:type="dxa" w:w="60"/>
              <w:left w:type="dxa" w:w="120"/>
              <w:bottom w:type="dxa" w:w="30"/>
              <w:right w:type="dxa" w:w="120"/>
            </w:tcMar>
          </w:tcPr>
          <w:p>
            <w:pPr>
              <w:spacing w:before="120" w:after="120" w:line="288" w:lineRule="auto"/>
              <w:ind w:left="0"/>
              <w:jc w:val="center"/>
            </w:pPr>
            <w:r>
              <w:drawing>
                <wp:inline distT="0" distR="0" distB="0" distL="0">
                  <wp:extent cx="1790700" cy="2276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790700" cy="22764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不同专业读研效果对比</w:t>
              <w:br/>
            </w:r>
          </w:p>
        </w:tc>
      </w:tr>
    </w:tbl>
    <w:p>
      <w:pPr>
        <w:numPr>
          <w:numId w:val="9"/>
        </w:numPr>
        <w:spacing w:before="120" w:after="120" w:line="288" w:lineRule="auto"/>
        <w:ind w:left="0"/>
        <w:jc w:val="left"/>
      </w:pPr>
      <w:r>
        <w:rPr>
          <w:rFonts w:eastAsia="等线" w:ascii="Arial" w:cs="Arial" w:hAnsi="Arial"/>
          <w:b w:val="true"/>
          <w:sz w:val="22"/>
        </w:rPr>
        <w:t>读博的本质与就业</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796"/>
        <w:gridCol w:w="2484"/>
      </w:tblGrid>
      <w:tr>
        <w:tc>
          <w:tcPr>
            <w:tcW w:w="5796" w:type="dxa"/>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b w:val="true"/>
                <w:sz w:val="22"/>
              </w:rPr>
              <w:t>读博的本质</w:t>
            </w:r>
            <w:r>
              <w:rPr>
                <w:rFonts w:eastAsia="等线" w:ascii="Arial" w:cs="Arial" w:hAnsi="Arial"/>
                <w:sz w:val="22"/>
              </w:rPr>
              <w:t>：说话人1以导师所画的图解释，博士是在众多专业领域中选择一个细分方向，研究该方向最前沿、不成熟的领域，并成为该领域的顶尖人物。他以自己为例，虽有两个博士学位，但只是人工智能领域中文本信息处理里偏认知计算方向中分析人的成长这一极其细分领域的专家。</w:t>
            </w:r>
          </w:p>
          <w:p>
            <w:pPr>
              <w:numPr>
                <w:numId w:val="11"/>
              </w:numPr>
              <w:spacing w:before="120" w:after="120" w:line="288" w:lineRule="auto"/>
              <w:ind w:left="0"/>
              <w:jc w:val="left"/>
            </w:pPr>
            <w:r>
              <w:rPr>
                <w:rFonts w:eastAsia="等线" w:ascii="Arial" w:cs="Arial" w:hAnsi="Arial"/>
                <w:b w:val="true"/>
                <w:sz w:val="22"/>
              </w:rPr>
              <w:t>读博的就业</w:t>
            </w:r>
          </w:p>
          <w:p>
            <w:pPr>
              <w:numPr>
                <w:numId w:val="12"/>
              </w:numPr>
              <w:spacing w:before="120" w:after="120" w:line="288" w:lineRule="auto"/>
              <w:ind w:left="453"/>
              <w:jc w:val="left"/>
            </w:pPr>
            <w:r>
              <w:rPr>
                <w:rFonts w:eastAsia="等线" w:ascii="Arial" w:cs="Arial" w:hAnsi="Arial"/>
                <w:sz w:val="22"/>
              </w:rPr>
              <w:t>特定招聘方式：博士就业主要面向培养教授、学者、研究员岗位，每个学术分支有小圈子，每年有一到两次专门为博士毕业生准备的大型学术会议，毕业生需准备好简历和论文参会，像“皇上选秀”“相亲角”一样接受各大学招聘人员挑选。</w:t>
            </w:r>
          </w:p>
          <w:p>
            <w:pPr>
              <w:numPr>
                <w:numId w:val="13"/>
              </w:numPr>
              <w:spacing w:before="120" w:after="120" w:line="288" w:lineRule="auto"/>
              <w:ind w:left="453"/>
              <w:jc w:val="left"/>
            </w:pPr>
            <w:r>
              <w:rPr>
                <w:rFonts w:eastAsia="等线" w:ascii="Arial" w:cs="Arial" w:hAnsi="Arial"/>
                <w:sz w:val="22"/>
              </w:rPr>
              <w:t>导师的期望与困境：培养博士不易，导师希望学生留在学术界继续从事研究工作，因为教授有大量研究工作需要学生协助，学生若放弃学术生涯进入企业，会对导师之前工作造成负面影响，如导师需重新修改、翻新研究成果。说话人1的导师就因培养的两名优秀博士生都进入企业界而感到郁闷并反思。</w:t>
            </w:r>
          </w:p>
        </w:tc>
        <w:tc>
          <w:tcPr>
            <w:tcW w:w="2484" w:type="dxa"/>
            <w:tcMar>
              <w:top w:type="dxa" w:w="60"/>
              <w:left w:type="dxa" w:w="120"/>
              <w:bottom w:type="dxa" w:w="30"/>
              <w:right w:type="dxa" w:w="120"/>
            </w:tcMar>
          </w:tcPr>
          <w:p>
            <w:pPr>
              <w:spacing w:before="120" w:after="120" w:line="288" w:lineRule="auto"/>
              <w:ind w:left="0"/>
              <w:jc w:val="center"/>
            </w:pPr>
            <w:r>
              <w:drawing>
                <wp:inline distT="0" distR="0" distB="0" distL="0">
                  <wp:extent cx="1419225" cy="1104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419225" cy="11049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博士研究范围层级</w:t>
              <w:br/>
            </w:r>
          </w:p>
        </w:tc>
      </w:tr>
    </w:tbl>
    <w:p>
      <w:pPr>
        <w:numPr>
          <w:numId w:val="14"/>
        </w:numPr>
        <w:spacing w:before="120" w:after="120" w:line="288" w:lineRule="auto"/>
        <w:ind w:left="0"/>
        <w:jc w:val="left"/>
      </w:pPr>
      <w:r>
        <w:rPr>
          <w:rFonts w:eastAsia="等线" w:ascii="Arial" w:cs="Arial" w:hAnsi="Arial"/>
          <w:b w:val="true"/>
          <w:sz w:val="22"/>
        </w:rPr>
        <w:t>读博的选择建议</w:t>
      </w:r>
    </w:p>
    <w:p>
      <w:pPr>
        <w:numPr>
          <w:numId w:val="15"/>
        </w:numPr>
        <w:spacing w:before="120" w:after="120" w:line="288" w:lineRule="auto"/>
        <w:ind w:left="453"/>
        <w:jc w:val="left"/>
      </w:pPr>
      <w:r>
        <w:rPr>
          <w:rFonts w:eastAsia="等线" w:ascii="Arial" w:cs="Arial" w:hAnsi="Arial"/>
          <w:b w:val="true"/>
          <w:sz w:val="22"/>
        </w:rPr>
        <w:t>不适合多数人</w:t>
      </w:r>
      <w:r>
        <w:rPr>
          <w:rFonts w:eastAsia="等线" w:ascii="Arial" w:cs="Arial" w:hAnsi="Arial"/>
          <w:sz w:val="22"/>
        </w:rPr>
        <w:t>：说话人1认为正常人绝大多数不适合读博，读博是非常专的路子，需考虑自身是否适合以及博士生活是否是自己想要的。他举例李卫，本有机会去宝洁，却被逼读中科院博士，20多年后又出来创办企业，绕了大圈，因为他性格更适合从商。</w:t>
      </w:r>
    </w:p>
    <w:p>
      <w:pPr>
        <w:numPr>
          <w:numId w:val="16"/>
        </w:numPr>
        <w:spacing w:before="120" w:after="120" w:line="288" w:lineRule="auto"/>
        <w:ind w:left="453"/>
        <w:jc w:val="left"/>
      </w:pPr>
      <w:r>
        <w:rPr>
          <w:rFonts w:eastAsia="等线" w:ascii="Arial" w:cs="Arial" w:hAnsi="Arial"/>
          <w:b w:val="true"/>
          <w:sz w:val="22"/>
        </w:rPr>
        <w:t>部分专业可考虑</w:t>
      </w:r>
      <w:r>
        <w:rPr>
          <w:rFonts w:eastAsia="等线" w:ascii="Arial" w:cs="Arial" w:hAnsi="Arial"/>
          <w:sz w:val="22"/>
        </w:rPr>
        <w:t>：CA、CS等专业可考虑读博，因为性格上可能更适合。</w:t>
      </w:r>
    </w:p>
    <w:p>
      <w:pPr>
        <w:numPr>
          <w:numId w:val="17"/>
        </w:numPr>
        <w:spacing w:before="120" w:after="120" w:line="288" w:lineRule="auto"/>
        <w:ind w:left="453"/>
        <w:jc w:val="left"/>
      </w:pPr>
      <w:r>
        <w:rPr>
          <w:rFonts w:eastAsia="等线" w:ascii="Arial" w:cs="Arial" w:hAnsi="Arial"/>
          <w:b w:val="true"/>
          <w:sz w:val="22"/>
        </w:rPr>
        <w:t>读博的经济压力</w:t>
      </w:r>
      <w:r>
        <w:rPr>
          <w:rFonts w:eastAsia="等线" w:ascii="Arial" w:cs="Arial" w:hAnsi="Arial"/>
          <w:sz w:val="22"/>
        </w:rPr>
        <w:t>：读博期间收入相对偏低，国内读博每月最多3000元，一般一两千，对于30岁左右成家立业、可能要养家的博士来说，经济压力较大。</w:t>
      </w:r>
    </w:p>
    <w:p>
      <w:pPr>
        <w:numPr>
          <w:numId w:val="18"/>
        </w:numPr>
        <w:spacing w:before="120" w:after="120" w:line="288" w:lineRule="auto"/>
        <w:ind w:left="0"/>
        <w:jc w:val="left"/>
      </w:pPr>
      <w:r>
        <w:rPr>
          <w:rFonts w:eastAsia="等线" w:ascii="Arial" w:cs="Arial" w:hAnsi="Arial"/>
          <w:b w:val="true"/>
          <w:sz w:val="22"/>
        </w:rPr>
        <w:t>后续计划</w:t>
      </w:r>
      <w:r>
        <w:rPr>
          <w:rFonts w:eastAsia="等线" w:ascii="Arial" w:cs="Arial" w:hAnsi="Arial"/>
          <w:sz w:val="22"/>
        </w:rPr>
        <w:t>：说话人1表示后续会放出读研读博的一些就业详细数据，包括各个大学各个研究生方向的就业情况，以便大家用就业数据评判读研对自己的意义。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00:03</w:t>
        </w:r>
      </w:hyperlink>
      <w:r>
        <w:rPr>
          <w:rFonts w:eastAsia="等线" w:ascii="Arial" w:cs="Arial" w:hAnsi="Arial"/>
          <w:b w:val="true"/>
          <w:sz w:val="22"/>
        </w:rPr>
        <w:t xml:space="preserve">  读研读博利弊分析及不同专业的影响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读研读博利弊。读研读博近年火热，虽有提升竞争力、让学历光鲜等好处，但也存在危害。70%硕士专业不提升薪资竞争力，还会使就业面变窄。工程、理论、心理学等专业读硕博有价值，而工商管理、汉语言文学、电子商务等偏文专业读硕士用处不大，为逃避就业而读很不值得。</w:t>
            </w:r>
          </w:p>
        </w:tc>
      </w:tr>
    </w:tbl>
    <w:p>
      <w:pPr>
        <w:spacing w:before="120" w:after="120" w:line="288" w:lineRule="auto"/>
        <w:ind w:left="0"/>
        <w:jc w:val="left"/>
      </w:pPr>
      <w:hyperlink r:id="rId9">
        <w:r>
          <w:rPr>
            <w:rFonts w:eastAsia="等线" w:ascii="Arial" w:cs="Arial" w:hAnsi="Arial"/>
            <w:color w:val="3370ff"/>
            <w:sz w:val="22"/>
          </w:rPr>
          <w:t>03:39</w:t>
        </w:r>
      </w:hyperlink>
      <w:r>
        <w:rPr>
          <w:rFonts w:eastAsia="等线" w:ascii="Arial" w:cs="Arial" w:hAnsi="Arial"/>
          <w:b w:val="true"/>
          <w:sz w:val="22"/>
        </w:rPr>
        <w:t xml:space="preserve">  解读读博含义及博士研究方向的高度专业性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围绕读博展开。他表示自己无招博士生资格，曾带过专业博士但兼顾困难。借导师所画图解释博士是在细分方向的前沿领域选点深入研究，成为该细分领域佼佼者。强调博士名不副实，实际很“专”，并以自身为例，说明难以从深耕领域跨界到其他热门领域。</w:t>
            </w:r>
          </w:p>
        </w:tc>
      </w:tr>
    </w:tbl>
    <w:p>
      <w:pPr>
        <w:spacing w:before="120" w:after="120" w:line="288" w:lineRule="auto"/>
        <w:ind w:left="0"/>
        <w:jc w:val="left"/>
      </w:pPr>
      <w:hyperlink r:id="rId10">
        <w:r>
          <w:rPr>
            <w:rFonts w:eastAsia="等线" w:ascii="Arial" w:cs="Arial" w:hAnsi="Arial"/>
            <w:color w:val="3370ff"/>
            <w:sz w:val="22"/>
          </w:rPr>
          <w:t>08:32</w:t>
        </w:r>
      </w:hyperlink>
      <w:r>
        <w:rPr>
          <w:rFonts w:eastAsia="等线" w:ascii="Arial" w:cs="Arial" w:hAnsi="Arial"/>
          <w:b w:val="true"/>
          <w:sz w:val="22"/>
        </w:rPr>
        <w:t xml:space="preserve">  博士脱离学术界就业的过程及对导师的影响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讲述读博就业相关经历。读博旨在培养教授、学者等，博士找工作在特定学术会议进行，类似相亲角。说话人不想做教授，想回国，导师多次推荐面试，最终去面试。说话人高产发7篇论文，因回国脱离学术界得罪不少人，导师培养博士不易，不愿学生放弃学术，学生离开会有负面影响。</w:t>
            </w:r>
          </w:p>
        </w:tc>
      </w:tr>
    </w:tbl>
    <w:p>
      <w:pPr>
        <w:spacing w:before="120" w:after="120" w:line="288" w:lineRule="auto"/>
        <w:ind w:left="0"/>
        <w:jc w:val="left"/>
      </w:pPr>
      <w:hyperlink r:id="rId11">
        <w:r>
          <w:rPr>
            <w:rFonts w:eastAsia="等线" w:ascii="Arial" w:cs="Arial" w:hAnsi="Arial"/>
            <w:color w:val="3370ff"/>
            <w:sz w:val="22"/>
          </w:rPr>
          <w:t>15:13</w:t>
        </w:r>
      </w:hyperlink>
      <w:r>
        <w:rPr>
          <w:rFonts w:eastAsia="等线" w:ascii="Arial" w:cs="Arial" w:hAnsi="Arial"/>
          <w:b w:val="true"/>
          <w:sz w:val="22"/>
        </w:rPr>
        <w:t xml:space="preserve">  读博并非易选，需考量性格与职业规划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讨论读博话题。指出抖音上有鼓吹读“水博”现象，很多人读博只为头衔获取商业资源与人脉。强调读博是专的路子，要考虑自身情况和是否适应博士生活。以李卫为例说明性格不适合读博会绕弯路，认为多数人不适合读博，不过CA、CS等方向可考虑，性格对读博选择很重要。</w:t>
            </w:r>
          </w:p>
        </w:tc>
      </w:tr>
    </w:tbl>
    <w:p>
      <w:pPr>
        <w:spacing w:before="120" w:after="120" w:line="288" w:lineRule="auto"/>
        <w:ind w:left="0"/>
        <w:jc w:val="left"/>
      </w:pPr>
      <w:hyperlink r:id="rId12">
        <w:r>
          <w:rPr>
            <w:rFonts w:eastAsia="等线" w:ascii="Arial" w:cs="Arial" w:hAnsi="Arial"/>
            <w:color w:val="3370ff"/>
            <w:sz w:val="22"/>
          </w:rPr>
          <w:t>17:17</w:t>
        </w:r>
      </w:hyperlink>
      <w:r>
        <w:rPr>
          <w:rFonts w:eastAsia="等线" w:ascii="Arial" w:cs="Arial" w:hAnsi="Arial"/>
          <w:b w:val="true"/>
          <w:sz w:val="22"/>
        </w:rPr>
        <w:t xml:space="preserve">  读研读博就业数据及国内读博收入情况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提到后续会放出读研读博就业的详细数据，包括各大学各研究生方向的就业情况，方便大家评判读研对就业的作用。还指出读研读博其实是就业，以自身读博经历为例，说明读博期间收入偏低，国内读博每月最多3000元，一般一两千，30岁左右读博的人成家立业后养家困难。</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19"/>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：后续将放出读研读博就业的详细数据，供大家评判读研和读博对自身就业的影响。</w:t>
      </w:r>
    </w:p>
    <w:p>
      <w:pPr>
        <w:numPr>
          <w:numId w:val="20"/>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：如何判断读研读博对个人就业的影响。</w:t>
      </w:r>
    </w:p>
    <w:p>
      <w:pPr>
        <w:numPr>
          <w:numId w:val="21"/>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：说话人1提出通过放出各个大学各个研究生方向的就业情况数据，让大家用这些数据来评判。</w:t>
      </w:r>
    </w:p>
    <w:p>
      <w:pPr>
        <w:numPr>
          <w:numId w:val="22"/>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：用实际的就业数据能更直观、准确地帮助大家判断读研读博对自身就业的利弊。</w:t>
      </w:r>
    </w:p>
    <w:p>
      <w:pPr>
        <w:pBdr>
          <w:bottom w:val="single" w:color="dee0e3"/>
          <w:between w:val="single" w:color="dee0e3"/>
        </w:pBdr>
        <w:spacing w:before="120" w:after="120" w:line="288" w:lineRule="auto"/>
        <w:ind w:left="0"/>
      </w:pPr>
    </w:p>
    <w:p>
      <w:pPr>
        <w:numPr>
          <w:numId w:val="23"/>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「70%的硕士专业并不会带来薪资竞争力的提升，反而会让就业面变窄，履历上的硕士身份会使一些对学历无要求的岗位关上大门。」</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突出了读硕士可能存在的危害，引发人们对读硕士价值的思考。</w:t>
      </w:r>
    </w:p>
    <w:p>
      <w:pPr>
        <w:spacing w:before="120" w:after="120" w:line="288" w:lineRule="auto"/>
        <w:ind w:left="0"/>
        <w:jc w:val="left"/>
      </w:pPr>
    </w:p>
    <w:p>
      <w:pPr>
        <w:spacing w:before="120" w:after="120" w:line="288" w:lineRule="auto"/>
        <w:ind w:left="0"/>
        <w:jc w:val="left"/>
      </w:pPr>
      <w:r>
        <w:rPr>
          <w:rFonts w:eastAsia="等线" w:ascii="Arial" w:cs="Arial" w:hAnsi="Arial"/>
          <w:sz w:val="22"/>
        </w:rPr>
        <w:t>「博士研究的是众多专业方向中细分方向上最前沿、不成熟领域里的一个点，要在这个点上独树一帜，成为该领域的佼佼者。」</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形象地解释了博士研究的特点和要求，让人们对博士的概念有更清晰的认识。</w:t>
      </w:r>
    </w:p>
    <w:p>
      <w:pPr>
        <w:spacing w:before="120" w:after="120" w:line="288" w:lineRule="auto"/>
        <w:ind w:left="0"/>
        <w:jc w:val="left"/>
      </w:pPr>
    </w:p>
    <w:p>
      <w:pPr>
        <w:spacing w:before="120" w:after="120" w:line="288" w:lineRule="auto"/>
        <w:ind w:left="0"/>
        <w:jc w:val="left"/>
      </w:pPr>
      <w:r>
        <w:rPr>
          <w:rFonts w:eastAsia="等线" w:ascii="Arial" w:cs="Arial" w:hAnsi="Arial"/>
          <w:sz w:val="22"/>
        </w:rPr>
        <w:t>「读博是一个非常专的路子，选择这条路要考虑自己是否适合，以及博士生活是否是自己想要的。」</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提醒人们在选择读博时要结合自身情况慎重考虑，具有很强的指导意义。</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4"/>
        </w:numPr>
        <w:spacing w:before="120" w:after="120" w:line="288" w:lineRule="auto"/>
        <w:ind w:left="0"/>
        <w:jc w:val="left"/>
      </w:pPr>
      <w:r>
        <w:rPr>
          <w:rFonts w:eastAsia="等线" w:ascii="Arial" w:cs="Arial" w:hAnsi="Arial"/>
          <w:sz w:val="22"/>
        </w:rPr>
        <w:t>妙记：</w:t>
      </w:r>
      <w:hyperlink r:id="rId13">
        <w:r>
          <w:rPr>
            <w:rFonts w:eastAsia="等线" w:ascii="Arial" w:cs="Arial" w:hAnsi="Arial"/>
            <w:color w:val="3370ff"/>
            <w:sz w:val="22"/>
          </w:rPr>
          <w:t>46、读研读博，竟有这些危害</w:t>
        </w:r>
      </w:hyperlink>
    </w:p>
    <w:p>
      <w:pPr>
        <w:numPr>
          <w:numId w:val="25"/>
        </w:numPr>
        <w:spacing w:before="120" w:after="120" w:line="288" w:lineRule="auto"/>
        <w:ind w:left="0"/>
        <w:jc w:val="left"/>
      </w:pPr>
      <w:r>
        <w:rPr>
          <w:rFonts w:eastAsia="等线" w:ascii="Arial" w:cs="Arial" w:hAnsi="Arial"/>
          <w:sz w:val="22"/>
        </w:rPr>
        <w:t>文字记录</w:t>
      </w:r>
    </w:p>
    <w:p>
      <w:pPr>
        <w:numPr>
          <w:numId w:val="26"/>
        </w:numPr>
        <w:spacing w:before="120" w:after="120" w:line="288" w:lineRule="auto"/>
        <w:ind w:left="453"/>
        <w:jc w:val="left"/>
      </w:pPr>
      <w:hyperlink r:id="rId14">
        <w:r>
          <w:rPr>
            <w:rFonts w:eastAsia="等线" w:ascii="Arial" w:cs="Arial" w:hAnsi="Arial"/>
            <w:color w:val="3370ff"/>
            <w:sz w:val="22"/>
          </w:rPr>
          <w:t>46、读研读博，竟有这些危害 2026年1月22日</w:t>
        </w:r>
      </w:hyperlink>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99050">
    <w:lvl>
      <w:numFmt w:val="bullet"/>
      <w:suff w:val="tab"/>
      <w:lvlText w:val="•"/>
      <w:rPr>
        <w:color w:val="3370ff"/>
      </w:rPr>
    </w:lvl>
  </w:abstractNum>
  <w:abstractNum w:abstractNumId="299051">
    <w:lvl>
      <w:numFmt w:val="bullet"/>
      <w:suff w:val="tab"/>
      <w:lvlText w:val="•"/>
      <w:rPr>
        <w:color w:val="3370ff"/>
      </w:rPr>
    </w:lvl>
  </w:abstractNum>
  <w:abstractNum w:abstractNumId="299052">
    <w:lvl>
      <w:numFmt w:val="bullet"/>
      <w:suff w:val="tab"/>
      <w:lvlText w:val="￮"/>
      <w:rPr>
        <w:color w:val="3370ff"/>
      </w:rPr>
    </w:lvl>
  </w:abstractNum>
  <w:abstractNum w:abstractNumId="299053">
    <w:lvl>
      <w:numFmt w:val="bullet"/>
      <w:suff w:val="tab"/>
      <w:lvlText w:val="￮"/>
      <w:rPr>
        <w:color w:val="3370ff"/>
      </w:rPr>
    </w:lvl>
  </w:abstractNum>
  <w:abstractNum w:abstractNumId="299054">
    <w:lvl>
      <w:numFmt w:val="bullet"/>
      <w:suff w:val="tab"/>
      <w:lvlText w:val="•"/>
      <w:rPr>
        <w:color w:val="3370ff"/>
      </w:rPr>
    </w:lvl>
  </w:abstractNum>
  <w:abstractNum w:abstractNumId="299055">
    <w:lvl>
      <w:numFmt w:val="bullet"/>
      <w:suff w:val="tab"/>
      <w:lvlText w:val="￮"/>
      <w:rPr>
        <w:color w:val="3370ff"/>
      </w:rPr>
    </w:lvl>
  </w:abstractNum>
  <w:abstractNum w:abstractNumId="299056">
    <w:lvl>
      <w:numFmt w:val="bullet"/>
      <w:suff w:val="tab"/>
      <w:lvlText w:val="￮"/>
      <w:rPr>
        <w:color w:val="3370ff"/>
      </w:rPr>
    </w:lvl>
  </w:abstractNum>
  <w:abstractNum w:abstractNumId="299057">
    <w:lvl>
      <w:numFmt w:val="bullet"/>
      <w:suff w:val="tab"/>
      <w:lvlText w:val="￮"/>
      <w:rPr>
        <w:color w:val="3370ff"/>
      </w:rPr>
    </w:lvl>
  </w:abstractNum>
  <w:abstractNum w:abstractNumId="299058">
    <w:lvl>
      <w:numFmt w:val="bullet"/>
      <w:suff w:val="tab"/>
      <w:lvlText w:val="•"/>
      <w:rPr>
        <w:color w:val="3370ff"/>
      </w:rPr>
    </w:lvl>
  </w:abstractNum>
  <w:abstractNum w:abstractNumId="299059">
    <w:lvl>
      <w:numFmt w:val="bullet"/>
      <w:suff w:val="tab"/>
      <w:lvlText w:val="•"/>
      <w:rPr>
        <w:color w:val="3370ff"/>
      </w:rPr>
    </w:lvl>
  </w:abstractNum>
  <w:abstractNum w:abstractNumId="299060">
    <w:lvl>
      <w:numFmt w:val="bullet"/>
      <w:suff w:val="tab"/>
      <w:lvlText w:val="•"/>
      <w:rPr>
        <w:color w:val="3370ff"/>
      </w:rPr>
    </w:lvl>
  </w:abstractNum>
  <w:abstractNum w:abstractNumId="299061">
    <w:lvl>
      <w:numFmt w:val="bullet"/>
      <w:suff w:val="tab"/>
      <w:lvlText w:val="￮"/>
      <w:rPr>
        <w:color w:val="3370ff"/>
      </w:rPr>
    </w:lvl>
  </w:abstractNum>
  <w:abstractNum w:abstractNumId="299062">
    <w:lvl>
      <w:numFmt w:val="bullet"/>
      <w:suff w:val="tab"/>
      <w:lvlText w:val="￮"/>
      <w:rPr>
        <w:color w:val="3370ff"/>
      </w:rPr>
    </w:lvl>
  </w:abstractNum>
  <w:abstractNum w:abstractNumId="299063">
    <w:lvl>
      <w:numFmt w:val="bullet"/>
      <w:suff w:val="tab"/>
      <w:lvlText w:val="•"/>
      <w:rPr>
        <w:color w:val="3370ff"/>
      </w:rPr>
    </w:lvl>
  </w:abstractNum>
  <w:abstractNum w:abstractNumId="299064">
    <w:lvl>
      <w:numFmt w:val="bullet"/>
      <w:suff w:val="tab"/>
      <w:lvlText w:val="￮"/>
      <w:rPr>
        <w:color w:val="3370ff"/>
      </w:rPr>
    </w:lvl>
  </w:abstractNum>
  <w:abstractNum w:abstractNumId="299065">
    <w:lvl>
      <w:numFmt w:val="bullet"/>
      <w:suff w:val="tab"/>
      <w:lvlText w:val="￮"/>
      <w:rPr>
        <w:color w:val="3370ff"/>
      </w:rPr>
    </w:lvl>
  </w:abstractNum>
  <w:abstractNum w:abstractNumId="299066">
    <w:lvl>
      <w:numFmt w:val="bullet"/>
      <w:suff w:val="tab"/>
      <w:lvlText w:val="￮"/>
      <w:rPr>
        <w:color w:val="3370ff"/>
      </w:rPr>
    </w:lvl>
  </w:abstractNum>
  <w:abstractNum w:abstractNumId="299067">
    <w:lvl>
      <w:numFmt w:val="bullet"/>
      <w:suff w:val="tab"/>
      <w:lvlText w:val="•"/>
      <w:rPr>
        <w:color w:val="3370ff"/>
      </w:rPr>
    </w:lvl>
  </w:abstractNum>
  <w:abstractNum w:abstractNumId="299068">
    <w:lvl>
      <w:numFmt w:val="bullet"/>
      <w:suff w:val="tab"/>
      <w:lvlText w:val="•"/>
      <w:rPr>
        <w:color w:val="3370ff"/>
      </w:rPr>
    </w:lvl>
  </w:abstractNum>
  <w:abstractNum w:abstractNumId="299069">
    <w:lvl>
      <w:numFmt w:val="bullet"/>
      <w:suff w:val="tab"/>
      <w:lvlText w:val="￮"/>
      <w:rPr>
        <w:color w:val="3370ff"/>
      </w:rPr>
    </w:lvl>
  </w:abstractNum>
  <w:abstractNum w:abstractNumId="299070">
    <w:lvl>
      <w:numFmt w:val="bullet"/>
      <w:suff w:val="tab"/>
      <w:lvlText w:val="￮"/>
      <w:rPr>
        <w:color w:val="3370ff"/>
      </w:rPr>
    </w:lvl>
  </w:abstractNum>
  <w:abstractNum w:abstractNumId="299071">
    <w:lvl>
      <w:numFmt w:val="bullet"/>
      <w:suff w:val="tab"/>
      <w:lvlText w:val="￮"/>
      <w:rPr>
        <w:color w:val="3370ff"/>
      </w:rPr>
    </w:lvl>
  </w:abstractNum>
  <w:abstractNum w:abstractNumId="299072">
    <w:lvl>
      <w:numFmt w:val="bullet"/>
      <w:suff w:val="tab"/>
      <w:lvlText w:val="•"/>
      <w:rPr>
        <w:color w:val="3370ff"/>
      </w:rPr>
    </w:lvl>
  </w:abstractNum>
  <w:abstractNum w:abstractNumId="299073">
    <w:lvl>
      <w:numFmt w:val="bullet"/>
      <w:suff w:val="tab"/>
      <w:lvlText w:val="•"/>
      <w:rPr>
        <w:color w:val="3370ff"/>
      </w:rPr>
    </w:lvl>
  </w:abstractNum>
  <w:abstractNum w:abstractNumId="299074">
    <w:lvl>
      <w:numFmt w:val="bullet"/>
      <w:suff w:val="tab"/>
      <w:lvlText w:val="•"/>
      <w:rPr>
        <w:color w:val="3370ff"/>
      </w:rPr>
    </w:lvl>
  </w:abstractNum>
  <w:abstractNum w:abstractNumId="299075">
    <w:lvl>
      <w:numFmt w:val="bullet"/>
      <w:suff w:val="tab"/>
      <w:lvlText w:val="￮"/>
      <w:rPr>
        <w:color w:val="3370ff"/>
      </w:rPr>
    </w:lvl>
  </w:abstractNum>
  <w:num w:numId="1">
    <w:abstractNumId w:val="299050"/>
  </w:num>
  <w:num w:numId="2">
    <w:abstractNumId w:val="299051"/>
  </w:num>
  <w:num w:numId="3">
    <w:abstractNumId w:val="299052"/>
  </w:num>
  <w:num w:numId="4">
    <w:abstractNumId w:val="299053"/>
  </w:num>
  <w:num w:numId="5">
    <w:abstractNumId w:val="299054"/>
  </w:num>
  <w:num w:numId="6">
    <w:abstractNumId w:val="299055"/>
  </w:num>
  <w:num w:numId="7">
    <w:abstractNumId w:val="299056"/>
  </w:num>
  <w:num w:numId="8">
    <w:abstractNumId w:val="299057"/>
  </w:num>
  <w:num w:numId="9">
    <w:abstractNumId w:val="299058"/>
  </w:num>
  <w:num w:numId="10">
    <w:abstractNumId w:val="299059"/>
  </w:num>
  <w:num w:numId="11">
    <w:abstractNumId w:val="299060"/>
  </w:num>
  <w:num w:numId="12">
    <w:abstractNumId w:val="299061"/>
  </w:num>
  <w:num w:numId="13">
    <w:abstractNumId w:val="299062"/>
  </w:num>
  <w:num w:numId="14">
    <w:abstractNumId w:val="299063"/>
  </w:num>
  <w:num w:numId="15">
    <w:abstractNumId w:val="299064"/>
  </w:num>
  <w:num w:numId="16">
    <w:abstractNumId w:val="299065"/>
  </w:num>
  <w:num w:numId="17">
    <w:abstractNumId w:val="299066"/>
  </w:num>
  <w:num w:numId="18">
    <w:abstractNumId w:val="299067"/>
  </w:num>
  <w:num w:numId="19">
    <w:abstractNumId w:val="299068"/>
  </w:num>
  <w:num w:numId="20">
    <w:abstractNumId w:val="299069"/>
  </w:num>
  <w:num w:numId="21">
    <w:abstractNumId w:val="299070"/>
  </w:num>
  <w:num w:numId="22">
    <w:abstractNumId w:val="299071"/>
  </w:num>
  <w:num w:numId="23">
    <w:abstractNumId w:val="299072"/>
  </w:num>
  <w:num w:numId="24">
    <w:abstractNumId w:val="299073"/>
  </w:num>
  <w:num w:numId="25">
    <w:abstractNumId w:val="299074"/>
  </w:num>
  <w:num w:numId="26">
    <w:abstractNumId w:val="2990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q546yc189t7566s1ou?t=512000" TargetMode="External" Type="http://schemas.openxmlformats.org/officeDocument/2006/relationships/hyperlink"/><Relationship Id="rId11" Target="https://hcnytq72r1ge.feishu.cn/minutes/obcnfoq546yc189t7566s1ou?t=913000" TargetMode="External" Type="http://schemas.openxmlformats.org/officeDocument/2006/relationships/hyperlink"/><Relationship Id="rId12" Target="https://hcnytq72r1ge.feishu.cn/minutes/obcnfoq546yc189t7566s1ou?t=1037000" TargetMode="External" Type="http://schemas.openxmlformats.org/officeDocument/2006/relationships/hyperlink"/><Relationship Id="rId13" Target="https://hcnytq72r1ge.feishu.cn/minutes/obcnfoq546yc189t7566s1ou?from=ai_minutes" TargetMode="External" Type="http://schemas.openxmlformats.org/officeDocument/2006/relationships/hyperlink"/><Relationship Id="rId14" Target="https://hcnytq72r1ge.feishu.cn/docx/TcvydfWQdo1S4lx1WpscQKCQndb"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oq546yc189t7566s1ou?t=3000" TargetMode="External" Type="http://schemas.openxmlformats.org/officeDocument/2006/relationships/hyperlink"/><Relationship Id="rId9" Target="https://hcnytq72r1ge.feishu.cn/minutes/obcnfoq546yc189t7566s1ou?t=219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2026-01-26T09:07:18Z</dcterms:created>
  <dc:creator>Apache POI</dc:creator>
</cp:coreProperties>
</file>