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智能纪要：47、EMBA不是学历教育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会议主题：47、EMBA不是学历教育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本次会议由说话人 1 围绕 EMBA 展开分享，介绍了 EMBA 的收费情况、学校与个人角度的价值，指出人脉和知识获取的特点，并给出替代学习途径的建议，内容如下：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EMBA 收费情况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3643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收费上涨</w:t>
            </w:r>
            <w:r>
              <w:rPr>
                <w:rFonts w:eastAsia="等线" w:ascii="Arial" w:cs="Arial" w:hAnsi="Arial"/>
                <w:sz w:val="22"/>
              </w:rPr>
              <w:t>：说话人 1 指出 2015 年 EMBA 收费三四十万到 50 万，如今最一流的如港科大、清华、上海交大、中欧的 EMBA 收费已达 70 万人民币，港科大更是 90 多万港币。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不同学校特色</w:t>
            </w:r>
            <w:r>
              <w:rPr>
                <w:rFonts w:eastAsia="等线" w:ascii="Arial" w:cs="Arial" w:hAnsi="Arial"/>
                <w:sz w:val="22"/>
              </w:rPr>
              <w:t>：顶级 EMBA 班学员背景优秀，非富即贵，以各大企业创始人、联合创始人为主。如长江商学院 EMBA 百分之九十几是有一定规模企业的创始人，中欧商学院以职业经理人为主。</w:t>
            </w:r>
          </w:p>
        </w:tc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52650" cy="8477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主流EMBA项目收费及学员特点对比</w:t>
              <w:br/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EMBA 的价值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学校角度</w:t>
      </w:r>
      <w:r>
        <w:rPr>
          <w:rFonts w:eastAsia="等线" w:ascii="Arial" w:cs="Arial" w:hAnsi="Arial"/>
          <w:sz w:val="22"/>
        </w:rPr>
        <w:t>：说话人 1 表示大学的 EMBA 班目标是创收，一个好的商学院通过 EMBA 一年收入过亿，而成本仅 1000 万左右，毕业发证成本极低。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个人角度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人脉价值：很多人读 EMBA 是为了交换资源和人脉。毕业后班主任仍会维护班级活动，人脉资源质量与学费高低成正比。学员常找老师要人脉资源。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知识获取：一流大学 EMBA 对授课老师要求高，会请学术成就高、授课水平好的老师以及有名教授和专长企业家授课。但知识获取并非多数人读 EMBA 的主要原因。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替代学习途径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课程优势</w:t>
      </w:r>
      <w:r>
        <w:rPr>
          <w:rFonts w:eastAsia="等线" w:ascii="Arial" w:cs="Arial" w:hAnsi="Arial"/>
          <w:sz w:val="22"/>
        </w:rPr>
        <w:t>：说话人 1 建议若冲着知识学习，可下载混沌大学 APP 购买会员，一年约 1000 元。其课程品控高，对老师输出质量要求极高，备课难度大。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低成本选择</w:t>
      </w:r>
      <w:r>
        <w:rPr>
          <w:rFonts w:eastAsia="等线" w:ascii="Arial" w:cs="Arial" w:hAnsi="Arial"/>
          <w:sz w:val="22"/>
        </w:rPr>
        <w:t>：若 1000 元学费也难以承担，可尝试在淘宝以低价获取课程。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关于通过 EMBA 找明星</w:t>
      </w:r>
      <w:r>
        <w:rPr>
          <w:rFonts w:eastAsia="等线" w:ascii="Arial" w:cs="Arial" w:hAnsi="Arial"/>
          <w:sz w:val="22"/>
        </w:rPr>
        <w:t>：说话人 1 称教了众多 EMBA 班，仅遇到过一位已婚娱乐明星，通过读 EMBA 班结识范冰冰等明星的可能性不大。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EMBA学费上涨仍热门，揭秘就读需谨慎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EMBA学历。如今想读EMBA的人增多，其学费也大幅上涨，如2015年收费三四十万到五十万，现在一流的港科大、清华、上海交大、中欧等EMBA收费已达70万。即便价格高仍有很多人读，说话人曾教过部分学校EMBA招生课，还称作为脱离大学商学院的人，要揭秘一些大学可能不会告知的EMBA内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01:33</w:t>
        </w:r>
      </w:hyperlink>
      <w:r>
        <w:rPr>
          <w:rFonts w:eastAsia="等线" w:ascii="Arial" w:cs="Arial" w:hAnsi="Arial"/>
          <w:b w:val="true"/>
          <w:sz w:val="22"/>
        </w:rPr>
        <w:t xml:space="preserve">  EMBA 学费、学校创收及顶级班学员情况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EMBA展开，指出大学开设EMBA班主要是为了创收，好的商学院通过EMBA一年收入过亿，成本仅约1000万。EMBA学费30万起步，顶级的达70万，港科大90多万港币。顶级EMBA对授课要求高，学员背景优秀，多为企业创始人，如长江商学院EMBA多数是有一定规模企业的创始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03:26</w:t>
        </w:r>
      </w:hyperlink>
      <w:r>
        <w:rPr>
          <w:rFonts w:eastAsia="等线" w:ascii="Arial" w:cs="Arial" w:hAnsi="Arial"/>
          <w:b w:val="true"/>
          <w:sz w:val="22"/>
        </w:rPr>
        <w:t xml:space="preserve">  EMBA 学习目的及人脉资源价值探讨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本章节主要探讨了人们读 EMBA 的原因，指出知识并非主要因素，最大价值是人脉。学校通过 EMBA 创收，个人则借此拓展商业机会、获取优质人脉。毕业后，班主任仍会维护班级活动，促进同学交流。人脉资源质量与学费高低成正比，且人脉基本能达到大家的期望。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06:09</w:t>
        </w:r>
      </w:hyperlink>
      <w:r>
        <w:rPr>
          <w:rFonts w:eastAsia="等线" w:ascii="Arial" w:cs="Arial" w:hAnsi="Arial"/>
          <w:b w:val="true"/>
          <w:sz w:val="22"/>
        </w:rPr>
        <w:t xml:space="preserve">  EMBA及线上课知识获取途径与成本分析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本章节主要讨论获取知识的途径。一流大学 EMBA 及湖畔、混沌大学顶尖小班授课质量高但学费贵。若冲着知识，可下载混沌大学 APP 花 1000 元买会员，其课程品控高，线上课质量要求极高。若交不起钱，淘宝或许 1 元能解决。此外，通过读 EMBA 班结识范冰冰这类明星可能性不大。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：是否选择读 EMBA 需根据个人需求来判断。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：越来越多人想读 EMBA，但学费高昂，是否值得读以及 EMBA 的价值何在。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提出从学校角度看，EMBA 是创收项目，成本低收益高。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从个人角度，有人认为读 EMBA 是为了知识、人脉等，说话人 1 认为最大价值是人脉，且人脉能达到期望，因为毕业后班主任会持续维护班级活动。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对于获取知识，说话人 1 提出若冲着知识去，可选择购买混沌大学 APP 会员，课程质量高且学费低。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：综合学校和个人对 EMBA 的不同诉求及价值体现，给出根据个人需求选择的建议。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「从学校讲，EMBA 的确是个创收项目；从个人讲，读 EMBA 最大价值的确是人脉。」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准确概括了学校和个人对于 EMBA 的不同价值认知，突出了会议讨论的核心观点。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「人脉资源的质量跟交的 EMBA 学费高低成正比。」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提出了人脉质量与学费的关系，具有独特洞察，能引发对 EMBA 价值的思考。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「如果冲着知识去读 EMBA，有一条捷径，可去下载混沌大学的 APP 购买会员，其课程质量高且学费仅 1000 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给出了获取知识的另一种性价比高的途径，为有知识需求的人提供了新的思路。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47、EMBA不是学历教育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47、EMBA不是学历教育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2723">
    <w:lvl>
      <w:numFmt w:val="bullet"/>
      <w:suff w:val="tab"/>
      <w:lvlText w:val="•"/>
      <w:rPr>
        <w:color w:val="3370ff"/>
      </w:rPr>
    </w:lvl>
  </w:abstractNum>
  <w:abstractNum w:abstractNumId="332724">
    <w:lvl>
      <w:numFmt w:val="bullet"/>
      <w:suff w:val="tab"/>
      <w:lvlText w:val="•"/>
      <w:rPr>
        <w:color w:val="3370ff"/>
      </w:rPr>
    </w:lvl>
  </w:abstractNum>
  <w:abstractNum w:abstractNumId="332725">
    <w:lvl>
      <w:numFmt w:val="bullet"/>
      <w:suff w:val="tab"/>
      <w:lvlText w:val="•"/>
      <w:rPr>
        <w:color w:val="3370ff"/>
      </w:rPr>
    </w:lvl>
  </w:abstractNum>
  <w:abstractNum w:abstractNumId="332726">
    <w:lvl>
      <w:numFmt w:val="bullet"/>
      <w:suff w:val="tab"/>
      <w:lvlText w:val="•"/>
      <w:rPr>
        <w:color w:val="3370ff"/>
      </w:rPr>
    </w:lvl>
  </w:abstractNum>
  <w:abstractNum w:abstractNumId="332727">
    <w:lvl>
      <w:numFmt w:val="bullet"/>
      <w:suff w:val="tab"/>
      <w:lvlText w:val="￮"/>
      <w:rPr>
        <w:color w:val="3370ff"/>
      </w:rPr>
    </w:lvl>
  </w:abstractNum>
  <w:abstractNum w:abstractNumId="332728">
    <w:lvl>
      <w:numFmt w:val="bullet"/>
      <w:suff w:val="tab"/>
      <w:lvlText w:val="￮"/>
      <w:rPr>
        <w:color w:val="3370ff"/>
      </w:rPr>
    </w:lvl>
  </w:abstractNum>
  <w:abstractNum w:abstractNumId="332729">
    <w:lvl>
      <w:numFmt w:val="bullet"/>
      <w:suff w:val="tab"/>
      <w:lvlText w:val="▪"/>
      <w:rPr>
        <w:color w:val="3370ff"/>
        <w:sz w:val="11"/>
      </w:rPr>
    </w:lvl>
  </w:abstractNum>
  <w:abstractNum w:abstractNumId="332730">
    <w:lvl>
      <w:numFmt w:val="bullet"/>
      <w:suff w:val="tab"/>
      <w:lvlText w:val="▪"/>
      <w:rPr>
        <w:color w:val="3370ff"/>
        <w:sz w:val="11"/>
      </w:rPr>
    </w:lvl>
  </w:abstractNum>
  <w:abstractNum w:abstractNumId="332731">
    <w:lvl>
      <w:numFmt w:val="bullet"/>
      <w:suff w:val="tab"/>
      <w:lvlText w:val="•"/>
      <w:rPr>
        <w:color w:val="3370ff"/>
      </w:rPr>
    </w:lvl>
  </w:abstractNum>
  <w:abstractNum w:abstractNumId="332732">
    <w:lvl>
      <w:numFmt w:val="bullet"/>
      <w:suff w:val="tab"/>
      <w:lvlText w:val="￮"/>
      <w:rPr>
        <w:color w:val="3370ff"/>
      </w:rPr>
    </w:lvl>
  </w:abstractNum>
  <w:abstractNum w:abstractNumId="332733">
    <w:lvl>
      <w:numFmt w:val="bullet"/>
      <w:suff w:val="tab"/>
      <w:lvlText w:val="￮"/>
      <w:rPr>
        <w:color w:val="3370ff"/>
      </w:rPr>
    </w:lvl>
  </w:abstractNum>
  <w:abstractNum w:abstractNumId="332734">
    <w:lvl>
      <w:numFmt w:val="bullet"/>
      <w:suff w:val="tab"/>
      <w:lvlText w:val="•"/>
      <w:rPr>
        <w:color w:val="3370ff"/>
      </w:rPr>
    </w:lvl>
  </w:abstractNum>
  <w:abstractNum w:abstractNumId="332735">
    <w:lvl>
      <w:numFmt w:val="bullet"/>
      <w:suff w:val="tab"/>
      <w:lvlText w:val="•"/>
      <w:rPr>
        <w:color w:val="3370ff"/>
      </w:rPr>
    </w:lvl>
  </w:abstractNum>
  <w:abstractNum w:abstractNumId="332736">
    <w:lvl>
      <w:numFmt w:val="bullet"/>
      <w:suff w:val="tab"/>
      <w:lvlText w:val="￮"/>
      <w:rPr>
        <w:color w:val="3370ff"/>
      </w:rPr>
    </w:lvl>
  </w:abstractNum>
  <w:abstractNum w:abstractNumId="332737">
    <w:lvl>
      <w:numFmt w:val="bullet"/>
      <w:suff w:val="tab"/>
      <w:lvlText w:val="￮"/>
      <w:rPr>
        <w:color w:val="3370ff"/>
      </w:rPr>
    </w:lvl>
  </w:abstractNum>
  <w:abstractNum w:abstractNumId="332738">
    <w:lvl>
      <w:numFmt w:val="bullet"/>
      <w:suff w:val="tab"/>
      <w:lvlText w:val="▪"/>
      <w:rPr>
        <w:color w:val="3370ff"/>
        <w:sz w:val="11"/>
      </w:rPr>
    </w:lvl>
  </w:abstractNum>
  <w:abstractNum w:abstractNumId="332739">
    <w:lvl>
      <w:numFmt w:val="bullet"/>
      <w:suff w:val="tab"/>
      <w:lvlText w:val="▪"/>
      <w:rPr>
        <w:color w:val="3370ff"/>
        <w:sz w:val="11"/>
      </w:rPr>
    </w:lvl>
  </w:abstractNum>
  <w:abstractNum w:abstractNumId="332740">
    <w:lvl>
      <w:numFmt w:val="bullet"/>
      <w:suff w:val="tab"/>
      <w:lvlText w:val="▪"/>
      <w:rPr>
        <w:color w:val="3370ff"/>
        <w:sz w:val="11"/>
      </w:rPr>
    </w:lvl>
  </w:abstractNum>
  <w:abstractNum w:abstractNumId="332741">
    <w:lvl>
      <w:numFmt w:val="bullet"/>
      <w:suff w:val="tab"/>
      <w:lvlText w:val="￮"/>
      <w:rPr>
        <w:color w:val="3370ff"/>
      </w:rPr>
    </w:lvl>
  </w:abstractNum>
  <w:abstractNum w:abstractNumId="332742">
    <w:lvl>
      <w:numFmt w:val="bullet"/>
      <w:suff w:val="tab"/>
      <w:lvlText w:val="•"/>
      <w:rPr>
        <w:color w:val="3370ff"/>
      </w:rPr>
    </w:lvl>
  </w:abstractNum>
  <w:abstractNum w:abstractNumId="332743">
    <w:lvl>
      <w:numFmt w:val="bullet"/>
      <w:suff w:val="tab"/>
      <w:lvlText w:val="•"/>
      <w:rPr>
        <w:color w:val="3370ff"/>
      </w:rPr>
    </w:lvl>
  </w:abstractNum>
  <w:abstractNum w:abstractNumId="332744">
    <w:lvl>
      <w:numFmt w:val="bullet"/>
      <w:suff w:val="tab"/>
      <w:lvlText w:val="•"/>
      <w:rPr>
        <w:color w:val="3370ff"/>
      </w:rPr>
    </w:lvl>
  </w:abstractNum>
  <w:abstractNum w:abstractNumId="332745">
    <w:lvl>
      <w:numFmt w:val="bullet"/>
      <w:suff w:val="tab"/>
      <w:lvlText w:val="￮"/>
      <w:rPr>
        <w:color w:val="3370ff"/>
      </w:rPr>
    </w:lvl>
  </w:abstractNum>
  <w:num w:numId="1">
    <w:abstractNumId w:val="332723"/>
  </w:num>
  <w:num w:numId="2">
    <w:abstractNumId w:val="332724"/>
  </w:num>
  <w:num w:numId="3">
    <w:abstractNumId w:val="332725"/>
  </w:num>
  <w:num w:numId="4">
    <w:abstractNumId w:val="332726"/>
  </w:num>
  <w:num w:numId="5">
    <w:abstractNumId w:val="332727"/>
  </w:num>
  <w:num w:numId="6">
    <w:abstractNumId w:val="332728"/>
  </w:num>
  <w:num w:numId="7">
    <w:abstractNumId w:val="332729"/>
  </w:num>
  <w:num w:numId="8">
    <w:abstractNumId w:val="332730"/>
  </w:num>
  <w:num w:numId="9">
    <w:abstractNumId w:val="332731"/>
  </w:num>
  <w:num w:numId="10">
    <w:abstractNumId w:val="332732"/>
  </w:num>
  <w:num w:numId="11">
    <w:abstractNumId w:val="332733"/>
  </w:num>
  <w:num w:numId="12">
    <w:abstractNumId w:val="332734"/>
  </w:num>
  <w:num w:numId="13">
    <w:abstractNumId w:val="332735"/>
  </w:num>
  <w:num w:numId="14">
    <w:abstractNumId w:val="332736"/>
  </w:num>
  <w:num w:numId="15">
    <w:abstractNumId w:val="332737"/>
  </w:num>
  <w:num w:numId="16">
    <w:abstractNumId w:val="332738"/>
  </w:num>
  <w:num w:numId="17">
    <w:abstractNumId w:val="332739"/>
  </w:num>
  <w:num w:numId="18">
    <w:abstractNumId w:val="332740"/>
  </w:num>
  <w:num w:numId="19">
    <w:abstractNumId w:val="332741"/>
  </w:num>
  <w:num w:numId="20">
    <w:abstractNumId w:val="332742"/>
  </w:num>
  <w:num w:numId="21">
    <w:abstractNumId w:val="332743"/>
  </w:num>
  <w:num w:numId="22">
    <w:abstractNumId w:val="332744"/>
  </w:num>
  <w:num w:numId="23">
    <w:abstractNumId w:val="3327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96kw34tqh1d6c68xek?t=369000" TargetMode="External" Type="http://schemas.openxmlformats.org/officeDocument/2006/relationships/hyperlink"/><Relationship Id="rId11" Target="https://hcnytq72r1ge.feishu.cn/minutes/obcnfo96kw34tqh1d6c68xek?from=ai_minutes" TargetMode="External" Type="http://schemas.openxmlformats.org/officeDocument/2006/relationships/hyperlink"/><Relationship Id="rId12" Target="https://hcnytq72r1ge.feishu.cn/docx/SfEDdDL1pokU9pxAe7gcbyAQnFd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96kw34tqh1d6c68xek?t=3000" TargetMode="External" Type="http://schemas.openxmlformats.org/officeDocument/2006/relationships/hyperlink"/><Relationship Id="rId8" Target="https://hcnytq72r1ge.feishu.cn/minutes/obcnfo96kw34tqh1d6c68xek?t=93000" TargetMode="External" Type="http://schemas.openxmlformats.org/officeDocument/2006/relationships/hyperlink"/><Relationship Id="rId9" Target="https://hcnytq72r1ge.feishu.cn/minutes/obcnfo96kw34tqh1d6c68xek?t=20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2026-01-26T09:08:01Z</dcterms:created>
  <dc:creator>Apache POI</dc:creator>
</cp:coreProperties>
</file>