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智能纪要：50、逆袭秘籍2：适合自己的方法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会议主题：50、逆袭秘籍2：适合自己的方法</w:t>
            </w:r>
          </w:p>
          <w:p>
            <w:pPr>
              <w:spacing w:before="120" w:after="120" w:line="288" w:lineRule="auto"/>
              <w:ind w:left="0"/>
              <w:jc w:val="left"/>
            </w:pPr>
            <w:r>
              <w:rPr>
                <w:rFonts w:eastAsia="等线" w:ascii="Arial" w:cs="Arial" w:hAnsi="Arial"/>
                <w:color w:val="646a73"/>
                <w:sz w:val="22"/>
              </w:rPr>
              <w:t>上传时间：1月22号（周四） 22:26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314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说话人 1 分享了自己在高三时通过改良学习方法实现学习提升的经验，包括借鉴《四轮学习法》和报纸报道的背书法，制定学习计划，运用时间规划和激励机制等，内容如下：</w:t>
      </w:r>
    </w:p>
    <w:p>
      <w:pPr>
        <w:numPr>
          <w:numId w:val="1"/>
        </w:numPr>
        <w:spacing w:before="120" w:after="120" w:line="288" w:lineRule="auto"/>
        <w:ind w:left="0"/>
        <w:jc w:val="left"/>
      </w:pPr>
      <w:r>
        <w:rPr>
          <w:rFonts w:eastAsia="等线" w:ascii="Arial" w:cs="Arial" w:hAnsi="Arial"/>
          <w:b w:val="true"/>
          <w:sz w:val="22"/>
        </w:rPr>
        <w:t>学习方法的借鉴与改良</w:t>
      </w:r>
    </w:p>
    <w:p>
      <w:pPr>
        <w:numPr>
          <w:numId w:val="2"/>
        </w:numPr>
        <w:spacing w:before="120" w:after="120" w:line="288" w:lineRule="auto"/>
        <w:ind w:left="453"/>
        <w:jc w:val="left"/>
      </w:pPr>
      <w:r>
        <w:rPr>
          <w:rFonts w:eastAsia="等线" w:ascii="Arial" w:cs="Arial" w:hAnsi="Arial"/>
          <w:b w:val="true"/>
          <w:sz w:val="22"/>
        </w:rPr>
        <w:t>《四轮学习法》理念</w:t>
      </w:r>
    </w:p>
    <w:p>
      <w:pPr>
        <w:numPr>
          <w:numId w:val="3"/>
        </w:numPr>
        <w:spacing w:before="120" w:after="120" w:line="288" w:lineRule="auto"/>
        <w:ind w:left="907"/>
        <w:jc w:val="left"/>
      </w:pPr>
      <w:r>
        <w:rPr>
          <w:rFonts w:eastAsia="等线" w:ascii="Arial" w:cs="Arial" w:hAnsi="Arial"/>
          <w:sz w:val="22"/>
        </w:rPr>
        <w:t>理念内容：说话人 1 提到同桌买的《四轮学习法》传递精学一遍不如粗糙学四遍的理念，虽该书公司倒闭且很多人用后效果不佳，但自己受益于此并进行改良。</w:t>
      </w:r>
    </w:p>
    <w:p>
      <w:pPr>
        <w:numPr>
          <w:numId w:val="4"/>
        </w:numPr>
        <w:spacing w:before="120" w:after="120" w:line="288" w:lineRule="auto"/>
        <w:ind w:left="907"/>
        <w:jc w:val="left"/>
      </w:pPr>
      <w:r>
        <w:rPr>
          <w:rFonts w:eastAsia="等线" w:ascii="Arial" w:cs="Arial" w:hAnsi="Arial"/>
          <w:sz w:val="22"/>
        </w:rPr>
        <w:t>不适用原因：因自己底子差、高三时间有限，无法按照书中学四遍知识点和做四遍题库的方法进行学习。</w:t>
      </w:r>
    </w:p>
    <w:p>
      <w:pPr>
        <w:numPr>
          <w:numId w:val="5"/>
        </w:numPr>
        <w:spacing w:before="120" w:after="120" w:line="288" w:lineRule="auto"/>
        <w:ind w:left="453"/>
        <w:jc w:val="left"/>
      </w:pPr>
      <w:r>
        <w:rPr>
          <w:rFonts w:eastAsia="等线" w:ascii="Arial" w:cs="Arial" w:hAnsi="Arial"/>
          <w:b w:val="true"/>
          <w:sz w:val="22"/>
        </w:rPr>
        <w:t>背书学习法的启发</w:t>
      </w:r>
    </w:p>
    <w:p>
      <w:pPr>
        <w:numPr>
          <w:numId w:val="6"/>
        </w:numPr>
        <w:spacing w:before="120" w:after="120" w:line="288" w:lineRule="auto"/>
        <w:ind w:left="907"/>
        <w:jc w:val="left"/>
      </w:pPr>
      <w:r>
        <w:rPr>
          <w:rFonts w:eastAsia="等线" w:ascii="Arial" w:cs="Arial" w:hAnsi="Arial"/>
          <w:sz w:val="22"/>
        </w:rPr>
        <w:t>案例来源：看到报纸报道湖北荆州市公安县埠河镇一个小学文化的父亲教出三个未上大学却考上大学的孩子，其方法是让孩子超前背课本。</w:t>
      </w:r>
    </w:p>
    <w:p>
      <w:pPr>
        <w:numPr>
          <w:numId w:val="7"/>
        </w:numPr>
        <w:spacing w:before="120" w:after="120" w:line="288" w:lineRule="auto"/>
        <w:ind w:left="907"/>
        <w:jc w:val="left"/>
      </w:pPr>
      <w:r>
        <w:rPr>
          <w:rFonts w:eastAsia="等线" w:ascii="Arial" w:cs="Arial" w:hAnsi="Arial"/>
          <w:sz w:val="22"/>
        </w:rPr>
        <w:t>方法结合：说话人 1 认为此方法简单且适合自己，将其与《四轮学习法》结合，计划在高三上学期把高中除语文外的课本背四遍。</w:t>
      </w:r>
    </w:p>
    <w:p>
      <w:pPr>
        <w:spacing w:before="120" w:after="120" w:line="288" w:lineRule="auto"/>
        <w:ind w:left="453"/>
        <w:jc w:val="center"/>
      </w:pPr>
      <w:r>
        <w:drawing>
          <wp:inline distT="0" distR="0" distB="0" distL="0">
            <wp:extent cx="5257800" cy="1352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352550"/>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两种学习方法对比与结合</w:t>
        <w:br/>
      </w:r>
    </w:p>
    <w:p>
      <w:pPr>
        <w:numPr>
          <w:numId w:val="8"/>
        </w:numPr>
        <w:spacing w:before="120" w:after="120" w:line="288" w:lineRule="auto"/>
        <w:ind w:left="0"/>
        <w:jc w:val="left"/>
      </w:pPr>
      <w:r>
        <w:rPr>
          <w:rFonts w:eastAsia="等线" w:ascii="Arial" w:cs="Arial" w:hAnsi="Arial"/>
          <w:b w:val="true"/>
          <w:sz w:val="22"/>
        </w:rPr>
        <w:t>学习计划的制定与执行</w:t>
      </w:r>
    </w:p>
    <w:p>
      <w:pPr>
        <w:numPr>
          <w:numId w:val="9"/>
        </w:numPr>
        <w:spacing w:before="120" w:after="120" w:line="288" w:lineRule="auto"/>
        <w:ind w:left="453"/>
        <w:jc w:val="left"/>
      </w:pPr>
      <w:r>
        <w:rPr>
          <w:rFonts w:eastAsia="等线" w:ascii="Arial" w:cs="Arial" w:hAnsi="Arial"/>
          <w:b w:val="true"/>
          <w:sz w:val="22"/>
        </w:rPr>
        <w:t>时间规划方法</w:t>
      </w:r>
    </w:p>
    <w:p>
      <w:pPr>
        <w:numPr>
          <w:numId w:val="10"/>
        </w:numPr>
        <w:spacing w:before="120" w:after="120" w:line="288" w:lineRule="auto"/>
        <w:ind w:left="907"/>
        <w:jc w:val="left"/>
      </w:pPr>
      <w:r>
        <w:rPr>
          <w:rFonts w:eastAsia="等线" w:ascii="Arial" w:cs="Arial" w:hAnsi="Arial"/>
          <w:sz w:val="22"/>
        </w:rPr>
        <w:t>番茄钟原理：借鉴《四轮学习法》中类似番茄钟的时间规划原理，虽书中未提及“番茄钟”之名，但提到做时间计划，完成任务打勾。</w:t>
      </w:r>
    </w:p>
    <w:p>
      <w:pPr>
        <w:numPr>
          <w:numId w:val="11"/>
        </w:numPr>
        <w:spacing w:before="120" w:after="120" w:line="288" w:lineRule="auto"/>
        <w:ind w:left="907"/>
        <w:jc w:val="left"/>
      </w:pPr>
      <w:r>
        <w:rPr>
          <w:rFonts w:eastAsia="等线" w:ascii="Arial" w:cs="Arial" w:hAnsi="Arial"/>
          <w:sz w:val="22"/>
        </w:rPr>
        <w:t>具体操作：说话人 1 因买不起书，自己打印画格子，将背书任务细化到每 45 分钟，完成一个打一个勾。</w:t>
      </w:r>
    </w:p>
    <w:p>
      <w:pPr>
        <w:numPr>
          <w:numId w:val="12"/>
        </w:numPr>
        <w:spacing w:before="120" w:after="120" w:line="288" w:lineRule="auto"/>
        <w:ind w:left="453"/>
        <w:jc w:val="left"/>
      </w:pPr>
      <w:r>
        <w:rPr>
          <w:rFonts w:eastAsia="等线" w:ascii="Arial" w:cs="Arial" w:hAnsi="Arial"/>
          <w:b w:val="true"/>
          <w:sz w:val="22"/>
        </w:rPr>
        <w:t>复盘与激励机制</w:t>
      </w:r>
    </w:p>
    <w:p>
      <w:pPr>
        <w:numPr>
          <w:numId w:val="13"/>
        </w:numPr>
        <w:spacing w:before="120" w:after="120" w:line="288" w:lineRule="auto"/>
        <w:ind w:left="907"/>
        <w:jc w:val="left"/>
      </w:pPr>
      <w:r>
        <w:rPr>
          <w:rFonts w:eastAsia="等线" w:ascii="Arial" w:cs="Arial" w:hAnsi="Arial"/>
          <w:sz w:val="22"/>
        </w:rPr>
        <w:t>写日记复盘：每天晚上写日记复盘当天学习完成情况，思考待改进之处，与自己对话总结经验。</w:t>
      </w:r>
    </w:p>
    <w:p>
      <w:pPr>
        <w:numPr>
          <w:numId w:val="14"/>
        </w:numPr>
        <w:spacing w:before="120" w:after="120" w:line="288" w:lineRule="auto"/>
        <w:ind w:left="907"/>
        <w:jc w:val="left"/>
      </w:pPr>
      <w:r>
        <w:rPr>
          <w:rFonts w:eastAsia="等线" w:ascii="Arial" w:cs="Arial" w:hAnsi="Arial"/>
          <w:sz w:val="22"/>
        </w:rPr>
        <w:t>激励措施：完成一天的任务会给自己一个小激励，每周完成任务会安排出去玩，避免打疲劳战。</w:t>
      </w:r>
    </w:p>
    <w:p>
      <w:pPr>
        <w:spacing w:before="120" w:after="120" w:line="288" w:lineRule="auto"/>
        <w:ind w:left="453"/>
        <w:jc w:val="center"/>
      </w:pPr>
      <w:r>
        <w:drawing>
          <wp:inline distT="0" distR="0" distB="0" distL="0">
            <wp:extent cx="5257800" cy="923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9239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学习计划执行步骤</w:t>
        <w:br/>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00:03</w:t>
        </w:r>
      </w:hyperlink>
      <w:r>
        <w:rPr>
          <w:rFonts w:eastAsia="等线" w:ascii="Arial" w:cs="Arial" w:hAnsi="Arial"/>
          <w:b w:val="true"/>
          <w:sz w:val="22"/>
        </w:rPr>
        <w:t xml:space="preserve">  四轮学习法曾遭质疑，我改良后从中受益</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称做的第二件正确的事与《四轮学习法》有关。这本书是商业书籍，其公司已倒闭，书中理念是同样时间粗糙学四遍课程好过精学一遍，公司曾举逆袭案例推销，但很多人用后效果不佳而骂其是骗子。说话人1表示自己能站在这里得益于该方法，不过他对其做了改良。</w:t>
            </w:r>
          </w:p>
        </w:tc>
      </w:tr>
    </w:tbl>
    <w:p>
      <w:pPr>
        <w:spacing w:before="120" w:after="120" w:line="288" w:lineRule="auto"/>
        <w:ind w:left="0"/>
        <w:jc w:val="left"/>
      </w:pPr>
      <w:hyperlink r:id="rId9">
        <w:r>
          <w:rPr>
            <w:rFonts w:eastAsia="等线" w:ascii="Arial" w:cs="Arial" w:hAnsi="Arial"/>
            <w:color w:val="3370ff"/>
            <w:sz w:val="22"/>
          </w:rPr>
          <w:t>01:13</w:t>
        </w:r>
      </w:hyperlink>
      <w:r>
        <w:rPr>
          <w:rFonts w:eastAsia="等线" w:ascii="Arial" w:cs="Arial" w:hAnsi="Arial"/>
          <w:b w:val="true"/>
          <w:sz w:val="22"/>
        </w:rPr>
        <w:t xml:space="preserve">  高三学渣结合方法背课本提升成绩计划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学习改良方法。他底子差，无法按常规学四遍知识点和做四遍题库的方法。看到报纸报道湖北一家三个没上大学的孩子考上大学，方法是背课本。他觉得此方法简单且适合自己，便结合两种方法，定了高三上学期把除语文外高中课本背四遍的计划。</w:t>
            </w:r>
          </w:p>
        </w:tc>
      </w:tr>
    </w:tbl>
    <w:p>
      <w:pPr>
        <w:spacing w:before="120" w:after="120" w:line="288" w:lineRule="auto"/>
        <w:ind w:left="0"/>
        <w:jc w:val="left"/>
      </w:pPr>
      <w:hyperlink r:id="rId10">
        <w:r>
          <w:rPr>
            <w:rFonts w:eastAsia="等线" w:ascii="Arial" w:cs="Arial" w:hAnsi="Arial"/>
            <w:color w:val="3370ff"/>
            <w:sz w:val="22"/>
          </w:rPr>
          <w:t>04:30</w:t>
        </w:r>
      </w:hyperlink>
      <w:r>
        <w:rPr>
          <w:rFonts w:eastAsia="等线" w:ascii="Arial" w:cs="Arial" w:hAnsi="Arial"/>
          <w:b w:val="true"/>
          <w:sz w:val="22"/>
        </w:rPr>
        <w:t xml:space="preserve">  担心任务完不成，借鉴四轮学习法做规划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本章节说话人1提出担心自己完不成任务的问题，随后提到四轮学习法的书中讲了一种时间规划原理，虽未提及“番茄钟”之名，但提到要做时间计划，面对一本有任务安排的厚书，每完成一项任务就打勾。</w:t>
            </w:r>
          </w:p>
        </w:tc>
      </w:tr>
    </w:tbl>
    <w:p>
      <w:pPr>
        <w:spacing w:before="120" w:after="120" w:line="288" w:lineRule="auto"/>
        <w:ind w:left="0"/>
        <w:jc w:val="left"/>
      </w:pPr>
      <w:hyperlink r:id="rId11">
        <w:r>
          <w:rPr>
            <w:rFonts w:eastAsia="等线" w:ascii="Arial" w:cs="Arial" w:hAnsi="Arial"/>
            <w:color w:val="3370ff"/>
            <w:sz w:val="22"/>
          </w:rPr>
          <w:t>05:03</w:t>
        </w:r>
      </w:hyperlink>
      <w:r>
        <w:rPr>
          <w:rFonts w:eastAsia="等线" w:ascii="Arial" w:cs="Arial" w:hAnsi="Arial"/>
          <w:b w:val="true"/>
          <w:sz w:val="22"/>
        </w:rPr>
        <w:t xml:space="preserve">  98年备考复盘方法及自我激励方式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学习方法。98年因书贵买不起便自行打印，按45分钟为单位规划背书任务，完成打勾。晚上进行复盘写日记，反思完成情况与待改进处。还提到将多种方法融合，完成一天任务会给自己小激励，避免疲劳战，每周也会给自己一次小奖励，如出去玩。</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15"/>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：说话人 1 在高三上学期将四轮学习法与背课本方法结合，计划把高中除语文外的所有科目课本背四遍。</w:t>
      </w:r>
    </w:p>
    <w:p>
      <w:pPr>
        <w:numPr>
          <w:numId w:val="16"/>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：说话人 1 成绩差，原四轮学习法不适合自己，需要找到适合自己的学习方法提升成绩。</w:t>
      </w:r>
    </w:p>
    <w:p>
      <w:pPr>
        <w:numPr>
          <w:numId w:val="17"/>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18"/>
        </w:numPr>
        <w:spacing w:before="120" w:after="120" w:line="288" w:lineRule="auto"/>
        <w:ind w:left="907"/>
        <w:jc w:val="left"/>
      </w:pPr>
      <w:r>
        <w:rPr>
          <w:rFonts w:eastAsia="等线" w:ascii="Arial" w:cs="Arial" w:hAnsi="Arial"/>
          <w:sz w:val="22"/>
        </w:rPr>
        <w:t>四轮学习法提出精学一遍不如粗糙学四遍，要学四遍知识点和做厚题库。</w:t>
      </w:r>
    </w:p>
    <w:p>
      <w:pPr>
        <w:numPr>
          <w:numId w:val="19"/>
        </w:numPr>
        <w:spacing w:before="120" w:after="120" w:line="288" w:lineRule="auto"/>
        <w:ind w:left="907"/>
        <w:jc w:val="left"/>
      </w:pPr>
      <w:r>
        <w:rPr>
          <w:rFonts w:eastAsia="等线" w:ascii="Arial" w:cs="Arial" w:hAnsi="Arial"/>
          <w:sz w:val="22"/>
        </w:rPr>
        <w:t>报纸报道家庭培养少年天才的方法是让孩子超前背课本。</w:t>
      </w:r>
    </w:p>
    <w:p>
      <w:pPr>
        <w:numPr>
          <w:numId w:val="20"/>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：说话人 1 底子差、没时间且没老师教，结合两种方法机会成本低，且能利用四轮学习法中的番茄钟时间规划和复盘方法。</w:t>
      </w:r>
    </w:p>
    <w:p>
      <w:pPr>
        <w:pBdr>
          <w:bottom w:val="single" w:color="dee0e3"/>
          <w:between w:val="single" w:color="dee0e3"/>
        </w:pBdr>
        <w:spacing w:before="120" w:after="120" w:line="288" w:lineRule="auto"/>
        <w:ind w:left="0"/>
      </w:pPr>
    </w:p>
    <w:p>
      <w:pPr>
        <w:numPr>
          <w:numId w:val="21"/>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22"/>
        </w:numPr>
        <w:spacing w:before="120" w:after="120" w:line="288" w:lineRule="auto"/>
        <w:ind w:left="453"/>
        <w:jc w:val="left"/>
      </w:pPr>
      <w:r>
        <w:rPr>
          <w:rFonts w:eastAsia="等线" w:ascii="Arial" w:cs="Arial" w:hAnsi="Arial"/>
          <w:sz w:val="22"/>
        </w:rPr>
        <w:t>说话人 1 放弃背诵语文课本，因文言文难背且语文成绩相对不差。</w:t>
      </w:r>
    </w:p>
    <w:p>
      <w:pPr>
        <w:numPr>
          <w:numId w:val="23"/>
        </w:numPr>
        <w:spacing w:before="120" w:after="120" w:line="288" w:lineRule="auto"/>
        <w:ind w:left="453"/>
        <w:jc w:val="left"/>
      </w:pPr>
      <w:r>
        <w:rPr>
          <w:rFonts w:eastAsia="等线" w:ascii="Arial" w:cs="Arial" w:hAnsi="Arial"/>
          <w:sz w:val="22"/>
        </w:rPr>
        <w:t>说话人 1 运用四轮学习法中的番茄钟原理做时间规划，每 45 分钟定背书任务，完成打勾，并进行晚上复盘写日记。</w:t>
      </w:r>
    </w:p>
    <w:p>
      <w:pPr>
        <w:numPr>
          <w:numId w:val="24"/>
        </w:numPr>
        <w:spacing w:before="120" w:after="120" w:line="288" w:lineRule="auto"/>
        <w:ind w:left="453"/>
        <w:jc w:val="left"/>
      </w:pPr>
      <w:r>
        <w:rPr>
          <w:rFonts w:eastAsia="等线" w:ascii="Arial" w:cs="Arial" w:hAnsi="Arial"/>
          <w:sz w:val="22"/>
        </w:rPr>
        <w:t>说话人 1 完成每日任务给自己小激励，完成每周任务给自己去玩的激励。</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「同样的时间把课程学一遍，不如粗糙地学四遍。」</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提出了一种独特的学习理念，强调多次学习的重要性，能引发对学习方法的思考。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「把小学、初中、高中的课本全背了，就这一个简单粗暴的方法。」</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分享了一种看似简单却有效的学习方法，突出了背课本的重要性，给人以新的学习思路。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「注意不要打疲劳战，要给自己适当的一点激励。」</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强调了学习过程中合理安排和激励自己的重要性，对学习有实际的指导意义。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5"/>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50、逆袭秘籍2：适合自己的方法</w:t>
        </w:r>
      </w:hyperlink>
    </w:p>
    <w:p>
      <w:pPr>
        <w:numPr>
          <w:numId w:val="26"/>
        </w:numPr>
        <w:spacing w:before="120" w:after="120" w:line="288" w:lineRule="auto"/>
        <w:ind w:left="0"/>
        <w:jc w:val="left"/>
      </w:pPr>
      <w:r>
        <w:rPr>
          <w:rFonts w:eastAsia="等线" w:ascii="Arial" w:cs="Arial" w:hAnsi="Arial"/>
          <w:sz w:val="22"/>
        </w:rPr>
        <w:t>文字记录</w:t>
      </w:r>
    </w:p>
    <w:p>
      <w:pPr>
        <w:numPr>
          <w:numId w:val="27"/>
        </w:numPr>
        <w:spacing w:before="120" w:after="120" w:line="288" w:lineRule="auto"/>
        <w:ind w:left="453"/>
        <w:jc w:val="left"/>
      </w:pPr>
      <w:hyperlink r:id="rId13">
        <w:r>
          <w:rPr>
            <w:rFonts w:eastAsia="等线" w:ascii="Arial" w:cs="Arial" w:hAnsi="Arial"/>
            <w:color w:val="3370ff"/>
            <w:sz w:val="22"/>
          </w:rPr>
          <w:t>50、逆袭秘籍2：适合自己的方法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501">
    <w:lvl>
      <w:numFmt w:val="bullet"/>
      <w:suff w:val="tab"/>
      <w:lvlText w:val="•"/>
      <w:rPr>
        <w:color w:val="3370ff"/>
      </w:rPr>
    </w:lvl>
  </w:abstractNum>
  <w:abstractNum w:abstractNumId="5502">
    <w:lvl>
      <w:numFmt w:val="bullet"/>
      <w:suff w:val="tab"/>
      <w:lvlText w:val="￮"/>
      <w:rPr>
        <w:color w:val="3370ff"/>
      </w:rPr>
    </w:lvl>
  </w:abstractNum>
  <w:abstractNum w:abstractNumId="5503">
    <w:lvl>
      <w:numFmt w:val="bullet"/>
      <w:suff w:val="tab"/>
      <w:lvlText w:val="▪"/>
      <w:rPr>
        <w:color w:val="3370ff"/>
        <w:sz w:val="11"/>
      </w:rPr>
    </w:lvl>
  </w:abstractNum>
  <w:abstractNum w:abstractNumId="5504">
    <w:lvl>
      <w:numFmt w:val="bullet"/>
      <w:suff w:val="tab"/>
      <w:lvlText w:val="▪"/>
      <w:rPr>
        <w:color w:val="3370ff"/>
        <w:sz w:val="11"/>
      </w:rPr>
    </w:lvl>
  </w:abstractNum>
  <w:abstractNum w:abstractNumId="5505">
    <w:lvl>
      <w:numFmt w:val="bullet"/>
      <w:suff w:val="tab"/>
      <w:lvlText w:val="￮"/>
      <w:rPr>
        <w:color w:val="3370ff"/>
      </w:rPr>
    </w:lvl>
  </w:abstractNum>
  <w:abstractNum w:abstractNumId="5506">
    <w:lvl>
      <w:numFmt w:val="bullet"/>
      <w:suff w:val="tab"/>
      <w:lvlText w:val="▪"/>
      <w:rPr>
        <w:color w:val="3370ff"/>
        <w:sz w:val="11"/>
      </w:rPr>
    </w:lvl>
  </w:abstractNum>
  <w:abstractNum w:abstractNumId="5507">
    <w:lvl>
      <w:numFmt w:val="bullet"/>
      <w:suff w:val="tab"/>
      <w:lvlText w:val="▪"/>
      <w:rPr>
        <w:color w:val="3370ff"/>
        <w:sz w:val="11"/>
      </w:rPr>
    </w:lvl>
  </w:abstractNum>
  <w:abstractNum w:abstractNumId="5508">
    <w:lvl>
      <w:numFmt w:val="bullet"/>
      <w:suff w:val="tab"/>
      <w:lvlText w:val="•"/>
      <w:rPr>
        <w:color w:val="3370ff"/>
      </w:rPr>
    </w:lvl>
  </w:abstractNum>
  <w:abstractNum w:abstractNumId="5509">
    <w:lvl>
      <w:numFmt w:val="bullet"/>
      <w:suff w:val="tab"/>
      <w:lvlText w:val="￮"/>
      <w:rPr>
        <w:color w:val="3370ff"/>
      </w:rPr>
    </w:lvl>
  </w:abstractNum>
  <w:abstractNum w:abstractNumId="5510">
    <w:lvl>
      <w:numFmt w:val="bullet"/>
      <w:suff w:val="tab"/>
      <w:lvlText w:val="▪"/>
      <w:rPr>
        <w:color w:val="3370ff"/>
        <w:sz w:val="11"/>
      </w:rPr>
    </w:lvl>
  </w:abstractNum>
  <w:abstractNum w:abstractNumId="5511">
    <w:lvl>
      <w:numFmt w:val="bullet"/>
      <w:suff w:val="tab"/>
      <w:lvlText w:val="▪"/>
      <w:rPr>
        <w:color w:val="3370ff"/>
        <w:sz w:val="11"/>
      </w:rPr>
    </w:lvl>
  </w:abstractNum>
  <w:abstractNum w:abstractNumId="5512">
    <w:lvl>
      <w:numFmt w:val="bullet"/>
      <w:suff w:val="tab"/>
      <w:lvlText w:val="￮"/>
      <w:rPr>
        <w:color w:val="3370ff"/>
      </w:rPr>
    </w:lvl>
  </w:abstractNum>
  <w:abstractNum w:abstractNumId="5513">
    <w:lvl>
      <w:numFmt w:val="bullet"/>
      <w:suff w:val="tab"/>
      <w:lvlText w:val="▪"/>
      <w:rPr>
        <w:color w:val="3370ff"/>
        <w:sz w:val="11"/>
      </w:rPr>
    </w:lvl>
  </w:abstractNum>
  <w:abstractNum w:abstractNumId="5514">
    <w:lvl>
      <w:numFmt w:val="bullet"/>
      <w:suff w:val="tab"/>
      <w:lvlText w:val="▪"/>
      <w:rPr>
        <w:color w:val="3370ff"/>
        <w:sz w:val="11"/>
      </w:rPr>
    </w:lvl>
  </w:abstractNum>
  <w:abstractNum w:abstractNumId="5515">
    <w:lvl>
      <w:numFmt w:val="bullet"/>
      <w:suff w:val="tab"/>
      <w:lvlText w:val="•"/>
      <w:rPr>
        <w:color w:val="3370ff"/>
      </w:rPr>
    </w:lvl>
  </w:abstractNum>
  <w:abstractNum w:abstractNumId="5516">
    <w:lvl>
      <w:numFmt w:val="bullet"/>
      <w:suff w:val="tab"/>
      <w:lvlText w:val="￮"/>
      <w:rPr>
        <w:color w:val="3370ff"/>
      </w:rPr>
    </w:lvl>
  </w:abstractNum>
  <w:abstractNum w:abstractNumId="5517">
    <w:lvl>
      <w:numFmt w:val="bullet"/>
      <w:suff w:val="tab"/>
      <w:lvlText w:val="￮"/>
      <w:rPr>
        <w:color w:val="3370ff"/>
      </w:rPr>
    </w:lvl>
  </w:abstractNum>
  <w:abstractNum w:abstractNumId="5518">
    <w:lvl>
      <w:numFmt w:val="bullet"/>
      <w:suff w:val="tab"/>
      <w:lvlText w:val="▪"/>
      <w:rPr>
        <w:color w:val="3370ff"/>
        <w:sz w:val="11"/>
      </w:rPr>
    </w:lvl>
  </w:abstractNum>
  <w:abstractNum w:abstractNumId="5519">
    <w:lvl>
      <w:numFmt w:val="bullet"/>
      <w:suff w:val="tab"/>
      <w:lvlText w:val="▪"/>
      <w:rPr>
        <w:color w:val="3370ff"/>
        <w:sz w:val="11"/>
      </w:rPr>
    </w:lvl>
  </w:abstractNum>
  <w:abstractNum w:abstractNumId="5520">
    <w:lvl>
      <w:numFmt w:val="bullet"/>
      <w:suff w:val="tab"/>
      <w:lvlText w:val="￮"/>
      <w:rPr>
        <w:color w:val="3370ff"/>
      </w:rPr>
    </w:lvl>
  </w:abstractNum>
  <w:abstractNum w:abstractNumId="5521">
    <w:lvl>
      <w:numFmt w:val="bullet"/>
      <w:suff w:val="tab"/>
      <w:lvlText w:val="•"/>
      <w:rPr>
        <w:color w:val="3370ff"/>
      </w:rPr>
    </w:lvl>
  </w:abstractNum>
  <w:abstractNum w:abstractNumId="5522">
    <w:lvl>
      <w:start w:val="1"/>
      <w:numFmt w:val="lowerLetter"/>
      <w:suff w:val="tab"/>
      <w:lvlText w:val="%1."/>
      <w:rPr>
        <w:color w:val="3370ff"/>
      </w:rPr>
    </w:lvl>
  </w:abstractNum>
  <w:abstractNum w:abstractNumId="5523">
    <w:lvl>
      <w:start w:val="2"/>
      <w:numFmt w:val="lowerLetter"/>
      <w:suff w:val="tab"/>
      <w:lvlText w:val="%1."/>
      <w:rPr>
        <w:color w:val="3370ff"/>
      </w:rPr>
    </w:lvl>
  </w:abstractNum>
  <w:abstractNum w:abstractNumId="5524">
    <w:lvl>
      <w:start w:val="3"/>
      <w:numFmt w:val="lowerLetter"/>
      <w:suff w:val="tab"/>
      <w:lvlText w:val="%1."/>
      <w:rPr>
        <w:color w:val="3370ff"/>
      </w:rPr>
    </w:lvl>
  </w:abstractNum>
  <w:abstractNum w:abstractNumId="5525">
    <w:lvl>
      <w:numFmt w:val="bullet"/>
      <w:suff w:val="tab"/>
      <w:lvlText w:val="•"/>
      <w:rPr>
        <w:color w:val="3370ff"/>
      </w:rPr>
    </w:lvl>
  </w:abstractNum>
  <w:abstractNum w:abstractNumId="5526">
    <w:lvl>
      <w:numFmt w:val="bullet"/>
      <w:suff w:val="tab"/>
      <w:lvlText w:val="•"/>
      <w:rPr>
        <w:color w:val="3370ff"/>
      </w:rPr>
    </w:lvl>
  </w:abstractNum>
  <w:abstractNum w:abstractNumId="5527">
    <w:lvl>
      <w:numFmt w:val="bullet"/>
      <w:suff w:val="tab"/>
      <w:lvlText w:val="￮"/>
      <w:rPr>
        <w:color w:val="3370ff"/>
      </w:rPr>
    </w:lvl>
  </w:abstractNum>
  <w:num w:numId="1">
    <w:abstractNumId w:val="5501"/>
  </w:num>
  <w:num w:numId="2">
    <w:abstractNumId w:val="5502"/>
  </w:num>
  <w:num w:numId="3">
    <w:abstractNumId w:val="5503"/>
  </w:num>
  <w:num w:numId="4">
    <w:abstractNumId w:val="5504"/>
  </w:num>
  <w:num w:numId="5">
    <w:abstractNumId w:val="5505"/>
  </w:num>
  <w:num w:numId="6">
    <w:abstractNumId w:val="5506"/>
  </w:num>
  <w:num w:numId="7">
    <w:abstractNumId w:val="5507"/>
  </w:num>
  <w:num w:numId="8">
    <w:abstractNumId w:val="5508"/>
  </w:num>
  <w:num w:numId="9">
    <w:abstractNumId w:val="5509"/>
  </w:num>
  <w:num w:numId="10">
    <w:abstractNumId w:val="5510"/>
  </w:num>
  <w:num w:numId="11">
    <w:abstractNumId w:val="5511"/>
  </w:num>
  <w:num w:numId="12">
    <w:abstractNumId w:val="5512"/>
  </w:num>
  <w:num w:numId="13">
    <w:abstractNumId w:val="5513"/>
  </w:num>
  <w:num w:numId="14">
    <w:abstractNumId w:val="5514"/>
  </w:num>
  <w:num w:numId="15">
    <w:abstractNumId w:val="5515"/>
  </w:num>
  <w:num w:numId="16">
    <w:abstractNumId w:val="5516"/>
  </w:num>
  <w:num w:numId="17">
    <w:abstractNumId w:val="5517"/>
  </w:num>
  <w:num w:numId="18">
    <w:abstractNumId w:val="5518"/>
  </w:num>
  <w:num w:numId="19">
    <w:abstractNumId w:val="5519"/>
  </w:num>
  <w:num w:numId="20">
    <w:abstractNumId w:val="5520"/>
  </w:num>
  <w:num w:numId="21">
    <w:abstractNumId w:val="5521"/>
  </w:num>
  <w:num w:numId="22">
    <w:abstractNumId w:val="5522"/>
  </w:num>
  <w:num w:numId="23">
    <w:abstractNumId w:val="5523"/>
  </w:num>
  <w:num w:numId="24">
    <w:abstractNumId w:val="5524"/>
  </w:num>
  <w:num w:numId="25">
    <w:abstractNumId w:val="5525"/>
  </w:num>
  <w:num w:numId="26">
    <w:abstractNumId w:val="5526"/>
  </w:num>
  <w:num w:numId="27">
    <w:abstractNumId w:val="55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388s1x98rrbmyu1bk9?t=270000" TargetMode="External" Type="http://schemas.openxmlformats.org/officeDocument/2006/relationships/hyperlink"/><Relationship Id="rId11" Target="https://hcnytq72r1ge.feishu.cn/minutes/obcnfo388s1x98rrbmyu1bk9?t=303000" TargetMode="External" Type="http://schemas.openxmlformats.org/officeDocument/2006/relationships/hyperlink"/><Relationship Id="rId12" Target="https://hcnytq72r1ge.feishu.cn/minutes/obcnfo388s1x98rrbmyu1bk9?from=ai_minutes" TargetMode="External" Type="http://schemas.openxmlformats.org/officeDocument/2006/relationships/hyperlink"/><Relationship Id="rId13" Target="https://hcnytq72r1ge.feishu.cn/docx/VmjhdkW2mo6KSwxGjS4cv7Pvnpc"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388s1x98rrbmyu1bk9?t=3000" TargetMode="External" Type="http://schemas.openxmlformats.org/officeDocument/2006/relationships/hyperlink"/><Relationship Id="rId9" Target="https://hcnytq72r1ge.feishu.cn/minutes/obcnfo388s1x98rrbmyu1bk9?t=7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2026-01-26T09:13:06Z</dcterms:created>
  <dc:creator>Apache POI</dc:creator>
</cp:coreProperties>
</file>