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智能纪要：52、逆袭秘籍4：总结应试技巧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会议主题：52、逆袭秘籍4：总结应试技巧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22:26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14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说话人1分享了从一本考试相关书籍中学到的考试管理和应试技巧，以及自身和教导女儿过程中的实践经验，内容如下：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考试管理方法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719"/>
        <w:gridCol w:w="3560"/>
      </w:tblGrid>
      <w:tr>
        <w:tc>
          <w:tcPr>
            <w:tcW w:w="471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心态调整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穿着一致：说话人1提到考试时穿着要和平时一样，避免因穿着不同影响心态。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饮食辅助：书中建议吃大蒜，认为其能让大脑供氧更充分、使人精神更好。说话人1虽不习惯吃大蒜，但尝试了泡大蒜和大蒜素，感觉效果不错。</w:t>
            </w:r>
          </w:p>
        </w:tc>
        <w:tc>
          <w:tcPr>
            <w:tcW w:w="3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105025" cy="9048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考试管理方法体系</w:t>
              <w:br/>
            </w:r>
          </w:p>
        </w:tc>
      </w:tr>
    </w:tbl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应试技巧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整体预览：拿到卷子后先花两三分钟整体浏览，了解题型和难度，标记出难题。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先易后难：做题时先做简单题，确保会做的题目百分百正确；在简单题未做完时，果断放弃难题。说话人1在 2003 年湖北高考数学考试中运用此方法，虽放弃两道大题，但其余题目正确率达百分百，数学成绩超本科线好几十分。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错题集的重要性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老师教导</w:t>
      </w:r>
      <w:r>
        <w:rPr>
          <w:rFonts w:eastAsia="等线" w:ascii="Arial" w:cs="Arial" w:hAnsi="Arial"/>
          <w:sz w:val="22"/>
        </w:rPr>
        <w:t>：高三时老师教导说话人1所在班级整理错题集，当时说话人1未意识到其重要性。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实践验证</w:t>
      </w:r>
      <w:r>
        <w:rPr>
          <w:rFonts w:eastAsia="等线" w:ascii="Arial" w:cs="Arial" w:hAnsi="Arial"/>
          <w:sz w:val="22"/>
        </w:rPr>
        <w:t>：说话人1在教导女儿过程中发现，女儿通过整理错题集，成绩得到了快速提升。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00:00</w:t>
        </w:r>
      </w:hyperlink>
      <w:r>
        <w:rPr>
          <w:rFonts w:eastAsia="等线" w:ascii="Arial" w:cs="Arial" w:hAnsi="Arial"/>
          <w:b w:val="true"/>
          <w:sz w:val="22"/>
        </w:rPr>
        <w:t xml:space="preserve">  谈考试管理方法及大蒜素提神作用体验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说话人1分享一本讲考试的书，强调学的好不代表考得好，以高中同学高考失误复读为例。还提及书中关于考试管理的内容，如考前调整心态、考试着装与平时一致。此外，提到有人建议吃大蒜提神，说话人起初买泡大蒜，现在会买京东上提炼好的大蒜素，使用后感觉效果不错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01:12</w:t>
        </w:r>
      </w:hyperlink>
      <w:r>
        <w:rPr>
          <w:rFonts w:eastAsia="等线" w:ascii="Arial" w:cs="Arial" w:hAnsi="Arial"/>
          <w:b w:val="true"/>
          <w:sz w:val="22"/>
        </w:rPr>
        <w:t xml:space="preserve">  高考数学应试技巧分享及成功案例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高考应试技巧，强调拿到卷子先花两三分钟看整体题型和难度，标记难题，做题先易后难，确保简单题百分百正确，简单题没做完时果断放弃难题。他以2003年湖北高考为例，称自己用此方法在数学是短板的情况下超本科线好几十分，放弃的两道大题没试做，其余题估分一致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02:33</w:t>
        </w:r>
      </w:hyperlink>
      <w:r>
        <w:rPr>
          <w:rFonts w:eastAsia="等线" w:ascii="Arial" w:cs="Arial" w:hAnsi="Arial"/>
          <w:b w:val="true"/>
          <w:sz w:val="22"/>
        </w:rPr>
        <w:t xml:space="preserve">  高三应试方法分享及错题集提升成绩作用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应试技巧，称当时用了4个方法，正确率达百分百。还特别提到错题集，虽当初未意识到其重要性，但高三时老师教导过。后来在教导女儿过程中，发现女儿用错题集能快速提升成绩，这件事让说话人挺意外，最后表示这就是当时所用的方法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考试理念</w:t>
      </w:r>
      <w:r>
        <w:rPr>
          <w:rFonts w:eastAsia="等线" w:ascii="Arial" w:cs="Arial" w:hAnsi="Arial"/>
          <w:sz w:val="22"/>
        </w:rPr>
        <w:t>：说话人 1 分享书籍观点，指出学习好不一定考得好，强调考试管理和应试技巧的重要性。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考试准备</w:t>
      </w:r>
      <w:r>
        <w:rPr>
          <w:rFonts w:eastAsia="等线" w:ascii="Arial" w:cs="Arial" w:hAnsi="Arial"/>
          <w:sz w:val="22"/>
        </w:rPr>
        <w:t>：包括考前调整心态，考试时穿着与平时一致，可借助大蒜或大蒜素提神。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应试技巧</w:t>
      </w:r>
      <w:r>
        <w:rPr>
          <w:rFonts w:eastAsia="等线" w:ascii="Arial" w:cs="Arial" w:hAnsi="Arial"/>
          <w:sz w:val="22"/>
        </w:rPr>
        <w:t>：拿到试卷先整体浏览，标记难题，先做简单题确保正确率，难题在简单题未做完时果断放弃。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错题集作用</w:t>
      </w:r>
      <w:r>
        <w:rPr>
          <w:rFonts w:eastAsia="等线" w:ascii="Arial" w:cs="Arial" w:hAnsi="Arial"/>
          <w:sz w:val="22"/>
        </w:rPr>
        <w:t>：说话人 1 高三时老师教导整理错题集，后来发现女儿使用错题集能快速提升成绩。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「学的好不代表考的好，考试需要做好各种管理。」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突出了会议核心观点，点明学习和考试之间的差异，强调考试管理的重要性，引发对考试的思考。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「考试时不要拿到卷子就做题，应先整体浏览试卷，标记难题，先做简单题确保正确率，难题在简单题未做完时果断放弃。」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分享了实用的应试技巧，具有独特洞察和可操作性，能让读者快速理解并从中获得启发。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「整理错题集能帮助孩子快速提升成绩。」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通过自身教导孩子的经历得出的结论，具有实际参考价值，能引发共鸣。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52、逆袭秘籍4：总结应试技巧</w:t>
        </w:r>
      </w:hyperlink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52、逆袭秘籍4：总结应试技巧 2026年1月22日</w:t>
        </w:r>
      </w:hyperlink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683">
    <w:lvl>
      <w:numFmt w:val="bullet"/>
      <w:suff w:val="tab"/>
      <w:lvlText w:val="•"/>
      <w:rPr>
        <w:color w:val="3370ff"/>
      </w:rPr>
    </w:lvl>
  </w:abstractNum>
  <w:abstractNum w:abstractNumId="13684">
    <w:lvl>
      <w:numFmt w:val="bullet"/>
      <w:suff w:val="tab"/>
      <w:lvlText w:val="•"/>
      <w:rPr>
        <w:color w:val="3370ff"/>
      </w:rPr>
    </w:lvl>
  </w:abstractNum>
  <w:abstractNum w:abstractNumId="13685">
    <w:lvl>
      <w:numFmt w:val="bullet"/>
      <w:suff w:val="tab"/>
      <w:lvlText w:val="￮"/>
      <w:rPr>
        <w:color w:val="3370ff"/>
      </w:rPr>
    </w:lvl>
  </w:abstractNum>
  <w:abstractNum w:abstractNumId="13686">
    <w:lvl>
      <w:numFmt w:val="bullet"/>
      <w:suff w:val="tab"/>
      <w:lvlText w:val="￮"/>
      <w:rPr>
        <w:color w:val="3370ff"/>
      </w:rPr>
    </w:lvl>
  </w:abstractNum>
  <w:abstractNum w:abstractNumId="13687">
    <w:lvl>
      <w:numFmt w:val="bullet"/>
      <w:suff w:val="tab"/>
      <w:lvlText w:val="￮"/>
      <w:rPr>
        <w:color w:val="3370ff"/>
      </w:rPr>
    </w:lvl>
  </w:abstractNum>
  <w:abstractNum w:abstractNumId="13688">
    <w:lvl>
      <w:numFmt w:val="bullet"/>
      <w:suff w:val="tab"/>
      <w:lvlText w:val="▪"/>
      <w:rPr>
        <w:color w:val="3370ff"/>
        <w:sz w:val="11"/>
      </w:rPr>
    </w:lvl>
  </w:abstractNum>
  <w:abstractNum w:abstractNumId="13689">
    <w:lvl>
      <w:numFmt w:val="bullet"/>
      <w:suff w:val="tab"/>
      <w:lvlText w:val="▪"/>
      <w:rPr>
        <w:color w:val="3370ff"/>
        <w:sz w:val="11"/>
      </w:rPr>
    </w:lvl>
  </w:abstractNum>
  <w:abstractNum w:abstractNumId="13690">
    <w:lvl>
      <w:numFmt w:val="bullet"/>
      <w:suff w:val="tab"/>
      <w:lvlText w:val="•"/>
      <w:rPr>
        <w:color w:val="3370ff"/>
      </w:rPr>
    </w:lvl>
  </w:abstractNum>
  <w:abstractNum w:abstractNumId="13691">
    <w:lvl>
      <w:numFmt w:val="bullet"/>
      <w:suff w:val="tab"/>
      <w:lvlText w:val="￮"/>
      <w:rPr>
        <w:color w:val="3370ff"/>
      </w:rPr>
    </w:lvl>
  </w:abstractNum>
  <w:abstractNum w:abstractNumId="13692">
    <w:lvl>
      <w:numFmt w:val="bullet"/>
      <w:suff w:val="tab"/>
      <w:lvlText w:val="￮"/>
      <w:rPr>
        <w:color w:val="3370ff"/>
      </w:rPr>
    </w:lvl>
  </w:abstractNum>
  <w:abstractNum w:abstractNumId="13693">
    <w:lvl>
      <w:numFmt w:val="bullet"/>
      <w:suff w:val="tab"/>
      <w:lvlText w:val="•"/>
      <w:rPr>
        <w:color w:val="3370ff"/>
      </w:rPr>
    </w:lvl>
  </w:abstractNum>
  <w:abstractNum w:abstractNumId="13694">
    <w:lvl>
      <w:numFmt w:val="bullet"/>
      <w:suff w:val="tab"/>
      <w:lvlText w:val="•"/>
      <w:rPr>
        <w:color w:val="3370ff"/>
      </w:rPr>
    </w:lvl>
  </w:abstractNum>
  <w:abstractNum w:abstractNumId="13695">
    <w:lvl>
      <w:numFmt w:val="bullet"/>
      <w:suff w:val="tab"/>
      <w:lvlText w:val="•"/>
      <w:rPr>
        <w:color w:val="3370ff"/>
      </w:rPr>
    </w:lvl>
  </w:abstractNum>
  <w:abstractNum w:abstractNumId="13696">
    <w:lvl>
      <w:numFmt w:val="bullet"/>
      <w:suff w:val="tab"/>
      <w:lvlText w:val="•"/>
      <w:rPr>
        <w:color w:val="3370ff"/>
      </w:rPr>
    </w:lvl>
  </w:abstractNum>
  <w:abstractNum w:abstractNumId="13697">
    <w:lvl>
      <w:numFmt w:val="bullet"/>
      <w:suff w:val="tab"/>
      <w:lvlText w:val="•"/>
      <w:rPr>
        <w:color w:val="3370ff"/>
      </w:rPr>
    </w:lvl>
  </w:abstractNum>
  <w:abstractNum w:abstractNumId="13698">
    <w:lvl>
      <w:numFmt w:val="bullet"/>
      <w:suff w:val="tab"/>
      <w:lvlText w:val="•"/>
      <w:rPr>
        <w:color w:val="3370ff"/>
      </w:rPr>
    </w:lvl>
  </w:abstractNum>
  <w:abstractNum w:abstractNumId="13699">
    <w:lvl>
      <w:numFmt w:val="bullet"/>
      <w:suff w:val="tab"/>
      <w:lvlText w:val="￮"/>
      <w:rPr>
        <w:color w:val="3370ff"/>
      </w:rPr>
    </w:lvl>
  </w:abstractNum>
  <w:num w:numId="1">
    <w:abstractNumId w:val="13683"/>
  </w:num>
  <w:num w:numId="2">
    <w:abstractNumId w:val="13684"/>
  </w:num>
  <w:num w:numId="3">
    <w:abstractNumId w:val="13685"/>
  </w:num>
  <w:num w:numId="4">
    <w:abstractNumId w:val="13686"/>
  </w:num>
  <w:num w:numId="5">
    <w:abstractNumId w:val="13687"/>
  </w:num>
  <w:num w:numId="6">
    <w:abstractNumId w:val="13688"/>
  </w:num>
  <w:num w:numId="7">
    <w:abstractNumId w:val="13689"/>
  </w:num>
  <w:num w:numId="8">
    <w:abstractNumId w:val="13690"/>
  </w:num>
  <w:num w:numId="9">
    <w:abstractNumId w:val="13691"/>
  </w:num>
  <w:num w:numId="10">
    <w:abstractNumId w:val="13692"/>
  </w:num>
  <w:num w:numId="11">
    <w:abstractNumId w:val="13693"/>
  </w:num>
  <w:num w:numId="12">
    <w:abstractNumId w:val="13694"/>
  </w:num>
  <w:num w:numId="13">
    <w:abstractNumId w:val="13695"/>
  </w:num>
  <w:num w:numId="14">
    <w:abstractNumId w:val="13696"/>
  </w:num>
  <w:num w:numId="15">
    <w:abstractNumId w:val="13697"/>
  </w:num>
  <w:num w:numId="16">
    <w:abstractNumId w:val="13698"/>
  </w:num>
  <w:num w:numId="17">
    <w:abstractNumId w:val="136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n7d3l4gy529j197aup?from=ai_minutes" TargetMode="External" Type="http://schemas.openxmlformats.org/officeDocument/2006/relationships/hyperlink"/><Relationship Id="rId11" Target="https://hcnytq72r1ge.feishu.cn/docx/Mlrods9WFogxqlxO21mceNg4nJc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n7d3l4gy529j197aup?t=0" TargetMode="External" Type="http://schemas.openxmlformats.org/officeDocument/2006/relationships/hyperlink"/><Relationship Id="rId8" Target="https://hcnytq72r1ge.feishu.cn/minutes/obcnfon7d3l4gy529j197aup?t=72000" TargetMode="External" Type="http://schemas.openxmlformats.org/officeDocument/2006/relationships/hyperlink"/><Relationship Id="rId9" Target="https://hcnytq72r1ge.feishu.cn/minutes/obcnfon7d3l4gy529j197aup?t=153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2026-01-26T09:15:25Z</dcterms:created>
  <dc:creator>Apache POI</dc:creator>
</cp:coreProperties>
</file>