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智能纪要：55、M：重塑动力，让孩子爱上学习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会议主题：55、M：重塑动力，让孩子爱上学习</w:t>
            </w:r>
          </w:p>
          <w:p>
            <w:pPr>
              <w:spacing w:before="120" w:after="120" w:line="288" w:lineRule="auto"/>
              <w:ind w:left="0"/>
              <w:jc w:val="left"/>
            </w:pPr>
            <w:r>
              <w:rPr>
                <w:rFonts w:eastAsia="等线" w:ascii="Arial" w:cs="Arial" w:hAnsi="Arial"/>
                <w:color w:val="646a73"/>
                <w:sz w:val="22"/>
              </w:rPr>
              <w:t>上传时间：1月22号（周四） 22:27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429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29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本次会议围绕学习力 1.0 中学习动力展开讨论，深入探讨了不爱学习的本质、学习的目的、学习方式以及学习过程是否痛苦等问题，内容如下：</w:t>
      </w:r>
    </w:p>
    <w:p>
      <w:pPr>
        <w:numPr>
          <w:numId w:val="1"/>
        </w:numPr>
        <w:spacing w:before="120" w:after="120" w:line="288" w:lineRule="auto"/>
        <w:ind w:left="0"/>
        <w:jc w:val="left"/>
      </w:pPr>
      <w:r>
        <w:rPr>
          <w:rFonts w:eastAsia="等线" w:ascii="Arial" w:cs="Arial" w:hAnsi="Arial"/>
          <w:b w:val="true"/>
          <w:sz w:val="22"/>
        </w:rPr>
        <w:t>学习本质探讨</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382"/>
        <w:gridCol w:w="2898"/>
      </w:tblGrid>
      <w:tr>
        <w:tc>
          <w:tcPr>
            <w:tcW w:w="5382"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学习定义</w:t>
            </w:r>
          </w:p>
          <w:p>
            <w:pPr>
              <w:numPr>
                <w:numId w:val="3"/>
              </w:numPr>
              <w:spacing w:before="120" w:after="120" w:line="288" w:lineRule="auto"/>
              <w:ind w:left="453"/>
              <w:jc w:val="left"/>
            </w:pPr>
            <w:r>
              <w:rPr>
                <w:rFonts w:eastAsia="等线" w:ascii="Arial" w:cs="Arial" w:hAnsi="Arial"/>
                <w:sz w:val="22"/>
              </w:rPr>
              <w:t>学习概念模糊：说话人 1 提出学习的定义不明确，学习是学知识、考试还是其他，打游戏、看书、跟不同老师学习是否都属于学习，本质区别在哪等问题值得思考。</w:t>
            </w:r>
          </w:p>
          <w:p>
            <w:pPr>
              <w:numPr>
                <w:numId w:val="4"/>
              </w:numPr>
              <w:spacing w:before="120" w:after="120" w:line="288" w:lineRule="auto"/>
              <w:ind w:left="453"/>
              <w:jc w:val="left"/>
            </w:pPr>
            <w:r>
              <w:rPr>
                <w:rFonts w:eastAsia="等线" w:ascii="Arial" w:cs="Arial" w:hAnsi="Arial"/>
                <w:sz w:val="22"/>
              </w:rPr>
              <w:t>学习是信息处理：强调学习本身是一个 learning 过程，即大脑处理信息的过程，有多种形式。</w:t>
            </w:r>
          </w:p>
        </w:tc>
        <w:tc>
          <w:tcPr>
            <w:tcW w:w="2898" w:type="dxa"/>
            <w:tcMar>
              <w:top w:type="dxa" w:w="60"/>
              <w:left w:type="dxa" w:w="120"/>
              <w:bottom w:type="dxa" w:w="30"/>
              <w:right w:type="dxa" w:w="120"/>
            </w:tcMar>
          </w:tcPr>
          <w:p>
            <w:pPr>
              <w:spacing w:before="120" w:after="120" w:line="288" w:lineRule="auto"/>
              <w:ind w:left="0"/>
              <w:jc w:val="center"/>
            </w:pPr>
            <w:r>
              <w:drawing>
                <wp:inline distT="0" distR="0" distB="0" distL="0">
                  <wp:extent cx="1685925" cy="914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685925" cy="9144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学习本质探讨</w:t>
              <w:br/>
            </w:r>
          </w:p>
        </w:tc>
      </w:tr>
    </w:tbl>
    <w:p>
      <w:pPr>
        <w:numPr>
          <w:numId w:val="5"/>
        </w:numPr>
        <w:spacing w:before="120" w:after="120" w:line="288" w:lineRule="auto"/>
        <w:ind w:left="453"/>
        <w:jc w:val="left"/>
      </w:pPr>
      <w:r>
        <w:rPr>
          <w:rFonts w:eastAsia="等线" w:ascii="Arial" w:cs="Arial" w:hAnsi="Arial"/>
          <w:b w:val="true"/>
          <w:sz w:val="22"/>
        </w:rPr>
        <w:t>学习方式偏好</w:t>
      </w:r>
      <w:r>
        <w:rPr>
          <w:rFonts w:eastAsia="等线" w:ascii="Arial" w:cs="Arial" w:hAnsi="Arial"/>
          <w:sz w:val="22"/>
        </w:rPr>
        <w:t>：不同孩子对学习方式的喜好不同，有的喜欢启发式教育，有的喜欢填鸭式教育。孩子不爱学习可能是目前的学习方式不是其喜欢的。</w:t>
      </w:r>
    </w:p>
    <w:p>
      <w:pPr>
        <w:numPr>
          <w:numId w:val="6"/>
        </w:numPr>
        <w:spacing w:before="120" w:after="120" w:line="288" w:lineRule="auto"/>
        <w:ind w:left="0"/>
        <w:jc w:val="left"/>
      </w:pPr>
      <w:r>
        <w:rPr>
          <w:rFonts w:eastAsia="等线" w:ascii="Arial" w:cs="Arial" w:hAnsi="Arial"/>
          <w:b w:val="true"/>
          <w:sz w:val="22"/>
        </w:rPr>
        <w:t>学习动力分析</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802"/>
        <w:gridCol w:w="248"/>
        <w:gridCol w:w="2980"/>
        <w:gridCol w:w="248"/>
      </w:tblGrid>
      <w:tr>
        <w:tc>
          <w:tcPr>
            <w:tcW w:w="4802"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b w:val="true"/>
                <w:sz w:val="22"/>
              </w:rPr>
              <w:t>不爱学习是谁的问题</w:t>
            </w:r>
          </w:p>
          <w:p>
            <w:pPr>
              <w:numPr>
                <w:numId w:val="8"/>
              </w:numPr>
              <w:spacing w:before="120" w:after="120" w:line="288" w:lineRule="auto"/>
              <w:ind w:left="453"/>
              <w:jc w:val="left"/>
            </w:pPr>
            <w:r>
              <w:rPr>
                <w:rFonts w:eastAsia="等线" w:ascii="Arial" w:cs="Arial" w:hAnsi="Arial"/>
                <w:sz w:val="22"/>
              </w:rPr>
              <w:t>家长问题：说话人 1 认为不爱学习是家长的问题，因为家长期望孩子爱学习，但现实有差距。孩子因就业遥远，当下无生存压力，对学习缺乏动力很正常。</w:t>
            </w:r>
          </w:p>
          <w:p>
            <w:pPr>
              <w:numPr>
                <w:numId w:val="9"/>
              </w:numPr>
              <w:spacing w:before="120" w:after="120" w:line="288" w:lineRule="auto"/>
              <w:ind w:left="453"/>
              <w:jc w:val="left"/>
            </w:pPr>
            <w:r>
              <w:rPr>
                <w:rFonts w:eastAsia="等线" w:ascii="Arial" w:cs="Arial" w:hAnsi="Arial"/>
                <w:sz w:val="22"/>
              </w:rPr>
              <w:t>家长期望原因：家长希望孩子学习好是因为将学习好等同于未来就业好，担心后代不能独立生存，这是为人父母的天性。</w:t>
            </w:r>
          </w:p>
        </w:tc>
        <w:tc>
          <w:tcPr>
            <w:tcW w:w="248" w:type="dxa"/>
            <w:tcMar>
              <w:top w:type="dxa" w:w="60"/>
              <w:left w:type="dxa" w:w="120"/>
              <w:bottom w:type="dxa" w:w="30"/>
              <w:right w:type="dxa" w:w="120"/>
            </w:tcMar>
          </w:tcPr>
          <w:p>
            <w:pPr>
              <w:spacing w:before="120" w:after="120" w:line="288" w:lineRule="auto"/>
              <w:ind w:left="0"/>
              <w:jc w:val="left"/>
            </w:pPr>
          </w:p>
        </w:tc>
        <w:tc>
          <w:tcPr>
            <w:tcW w:w="2980" w:type="dxa"/>
            <w:tcMar>
              <w:top w:type="dxa" w:w="60"/>
              <w:left w:type="dxa" w:w="120"/>
              <w:bottom w:type="dxa" w:w="30"/>
              <w:right w:type="dxa" w:w="120"/>
            </w:tcMar>
          </w:tcPr>
          <w:p>
            <w:pPr>
              <w:spacing w:before="120" w:after="120" w:line="288" w:lineRule="auto"/>
              <w:ind w:left="0"/>
              <w:jc w:val="center"/>
            </w:pPr>
            <w:r>
              <w:drawing>
                <wp:inline distT="0" distR="0" distB="0" distL="0">
                  <wp:extent cx="1733550" cy="11144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733550" cy="11144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家长与孩子对学习的认知对比</w:t>
              <w:br/>
            </w:r>
          </w:p>
        </w:tc>
        <w:tc>
          <w:tcPr>
            <w:tcW w:w="248" w:type="dxa"/>
            <w:tcMar>
              <w:top w:type="dxa" w:w="60"/>
              <w:left w:type="dxa" w:w="120"/>
              <w:bottom w:type="dxa" w:w="30"/>
              <w:right w:type="dxa" w:w="120"/>
            </w:tcMar>
          </w:tcPr>
          <w:p>
            <w:pPr>
              <w:spacing w:before="120" w:after="120" w:line="288" w:lineRule="auto"/>
              <w:ind w:left="0"/>
              <w:jc w:val="left"/>
            </w:pPr>
          </w:p>
        </w:tc>
      </w:tr>
    </w:tbl>
    <w:p>
      <w:pPr>
        <w:numPr>
          <w:numId w:val="10"/>
        </w:numPr>
        <w:spacing w:before="120" w:after="120" w:line="288" w:lineRule="auto"/>
        <w:ind w:left="453"/>
        <w:jc w:val="left"/>
      </w:pPr>
      <w:r>
        <w:rPr>
          <w:rFonts w:eastAsia="等线" w:ascii="Arial" w:cs="Arial" w:hAnsi="Arial"/>
          <w:b w:val="true"/>
          <w:sz w:val="22"/>
        </w:rPr>
        <w:t>激发学习动力</w:t>
      </w:r>
      <w:r>
        <w:rPr>
          <w:rFonts w:eastAsia="等线" w:ascii="Arial" w:cs="Arial" w:hAnsi="Arial"/>
          <w:sz w:val="22"/>
        </w:rPr>
        <w:t>：要让孩子产生学习兴趣，需让学习与当下生活产生直接关系，如产生生存焦虑，否则即便孩子认识到学习重要，也因距离遥远不会产生动力。</w:t>
      </w:r>
    </w:p>
    <w:p>
      <w:pPr>
        <w:numPr>
          <w:numId w:val="11"/>
        </w:numPr>
        <w:spacing w:before="120" w:after="120" w:line="288" w:lineRule="auto"/>
        <w:ind w:left="0"/>
        <w:jc w:val="left"/>
      </w:pPr>
      <w:r>
        <w:rPr>
          <w:rFonts w:eastAsia="等线" w:ascii="Arial" w:cs="Arial" w:hAnsi="Arial"/>
          <w:b w:val="true"/>
          <w:sz w:val="22"/>
        </w:rPr>
        <w:t>学习过程痛苦与否</w:t>
      </w:r>
    </w:p>
    <w:p>
      <w:pPr>
        <w:numPr>
          <w:numId w:val="12"/>
        </w:numPr>
        <w:spacing w:before="120" w:after="120" w:line="288" w:lineRule="auto"/>
        <w:ind w:left="453"/>
        <w:jc w:val="left"/>
      </w:pPr>
      <w:r>
        <w:rPr>
          <w:rFonts w:eastAsia="等线" w:ascii="Arial" w:cs="Arial" w:hAnsi="Arial"/>
          <w:b w:val="true"/>
          <w:sz w:val="22"/>
        </w:rPr>
        <w:t>痛苦的反人性案例</w:t>
      </w:r>
      <w:r>
        <w:rPr>
          <w:rFonts w:eastAsia="等线" w:ascii="Arial" w:cs="Arial" w:hAnsi="Arial"/>
          <w:sz w:val="22"/>
        </w:rPr>
        <w:t>：说话人 1 以自己高三逆袭 200 分的痛苦经历为例，说明这种反人性的痛苦学习过程不应普遍出现。虽然结果好，但过程痛苦，且家长可能未感受到孩子的痛苦。</w:t>
      </w:r>
    </w:p>
    <w:p>
      <w:pPr>
        <w:numPr>
          <w:numId w:val="13"/>
        </w:numPr>
        <w:spacing w:before="120" w:after="120" w:line="288" w:lineRule="auto"/>
        <w:ind w:left="453"/>
        <w:jc w:val="left"/>
      </w:pPr>
      <w:r>
        <w:rPr>
          <w:rFonts w:eastAsia="等线" w:ascii="Arial" w:cs="Arial" w:hAnsi="Arial"/>
          <w:b w:val="true"/>
          <w:sz w:val="22"/>
        </w:rPr>
        <w:t>学习动力缺失症状</w:t>
      </w:r>
      <w:r>
        <w:rPr>
          <w:rFonts w:eastAsia="等线" w:ascii="Arial" w:cs="Arial" w:hAnsi="Arial"/>
          <w:sz w:val="22"/>
        </w:rPr>
        <w:t>：若孩子各科学习成绩都差，基本可认定是学习动力问题。</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00:02</w:t>
        </w:r>
      </w:hyperlink>
      <w:r>
        <w:rPr>
          <w:rFonts w:eastAsia="等线" w:ascii="Arial" w:cs="Arial" w:hAnsi="Arial"/>
          <w:b w:val="true"/>
          <w:sz w:val="22"/>
        </w:rPr>
        <w:t xml:space="preserve">  探讨学习动力、不爱学习成因及家长期望根源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学习力1.0中的学习动力展开讨论。首先提出不爱学习是否正常、学习的定义及为何学习等问题，指出不爱学习本质上是家长的问题，因家长期望与孩子现实有差距。还分析了家长希望孩子学习好是出于对其未来就业和生存能力的担忧，但孩子因就业遥远难以产生学习动力。</w:t>
            </w:r>
          </w:p>
        </w:tc>
      </w:tr>
    </w:tbl>
    <w:p>
      <w:pPr>
        <w:spacing w:before="120" w:after="120" w:line="288" w:lineRule="auto"/>
        <w:ind w:left="0"/>
        <w:jc w:val="left"/>
      </w:pPr>
      <w:hyperlink r:id="rId9">
        <w:r>
          <w:rPr>
            <w:rFonts w:eastAsia="等线" w:ascii="Arial" w:cs="Arial" w:hAnsi="Arial"/>
            <w:color w:val="3370ff"/>
            <w:sz w:val="22"/>
          </w:rPr>
          <w:t>06:13</w:t>
        </w:r>
      </w:hyperlink>
      <w:r>
        <w:rPr>
          <w:rFonts w:eastAsia="等线" w:ascii="Arial" w:cs="Arial" w:hAnsi="Arial"/>
          <w:b w:val="true"/>
          <w:sz w:val="22"/>
        </w:rPr>
        <w:t xml:space="preserve">  探讨学习本质、形式及孩子成绩不好的原因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孩子对学习的看法展开讨论。指出不同人兴趣爱好广泛程度不同，如王老师爱好广泛，肖老师儿子专注天文物理。强调很多人对学习本质存在误解，学习是大脑处理信息的过程，有多种形式。孩子成绩不好，并非不爱学习，而是当前学习方式非其喜欢的方式。</w:t>
            </w:r>
          </w:p>
        </w:tc>
      </w:tr>
    </w:tbl>
    <w:p>
      <w:pPr>
        <w:spacing w:before="120" w:after="120" w:line="288" w:lineRule="auto"/>
        <w:ind w:left="0"/>
        <w:jc w:val="left"/>
      </w:pPr>
      <w:hyperlink r:id="rId10">
        <w:r>
          <w:rPr>
            <w:rFonts w:eastAsia="等线" w:ascii="Arial" w:cs="Arial" w:hAnsi="Arial"/>
            <w:color w:val="3370ff"/>
            <w:sz w:val="22"/>
          </w:rPr>
          <w:t>08:15</w:t>
        </w:r>
      </w:hyperlink>
      <w:r>
        <w:rPr>
          <w:rFonts w:eastAsia="等线" w:ascii="Arial" w:cs="Arial" w:hAnsi="Arial"/>
          <w:b w:val="true"/>
          <w:sz w:val="22"/>
        </w:rPr>
        <w:t xml:space="preserve">  学习痛苦经历、提分成果及动力缺失症状</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说话人1提出多年困惑，即学习过程是否必须痛苦，以自己高三逆袭200分的痛苦经历为例，认为这是反人性的，其父母未能感受他当时的痛苦，高考提分200分让班主任和父母都难以置信。此外还指出，各科学习成绩都差基本可认定孩子存在学习动力问题。</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14"/>
        </w:numPr>
        <w:spacing w:before="120" w:after="120" w:line="288" w:lineRule="auto"/>
        <w:ind w:left="0"/>
        <w:jc w:val="left"/>
      </w:pPr>
      <w:r>
        <w:rPr>
          <w:rFonts w:eastAsia="等线" w:ascii="Arial" w:cs="Arial" w:hAnsi="Arial"/>
          <w:b w:val="true"/>
          <w:sz w:val="22"/>
        </w:rPr>
        <w:t>学习本质探讨</w:t>
      </w:r>
      <w:r>
        <w:rPr>
          <w:rFonts w:eastAsia="等线" w:ascii="Arial" w:cs="Arial" w:hAnsi="Arial"/>
          <w:sz w:val="22"/>
        </w:rPr>
        <w:t>：探讨了学习的定义、目的，指出学习是大脑处理信息的过程，有多种形式，打游戏、看书、跟不同老师学习都是学习。</w:t>
      </w:r>
    </w:p>
    <w:p>
      <w:pPr>
        <w:numPr>
          <w:numId w:val="15"/>
        </w:numPr>
        <w:spacing w:before="120" w:after="120" w:line="288" w:lineRule="auto"/>
        <w:ind w:left="0"/>
        <w:jc w:val="left"/>
      </w:pPr>
      <w:r>
        <w:rPr>
          <w:rFonts w:eastAsia="等线" w:ascii="Arial" w:cs="Arial" w:hAnsi="Arial"/>
          <w:b w:val="true"/>
          <w:sz w:val="22"/>
        </w:rPr>
        <w:t>不爱学习原因分析</w:t>
      </w:r>
      <w:r>
        <w:rPr>
          <w:rFonts w:eastAsia="等线" w:ascii="Arial" w:cs="Arial" w:hAnsi="Arial"/>
          <w:sz w:val="22"/>
        </w:rPr>
        <w:t>：不爱学习并非孩子的问题，而是家长期望与现实有差距导致。孩子因就业距离遥远，未将学习与当下生活挂钩，缺乏学习动力。</w:t>
      </w:r>
    </w:p>
    <w:p>
      <w:pPr>
        <w:numPr>
          <w:numId w:val="16"/>
        </w:numPr>
        <w:spacing w:before="120" w:after="120" w:line="288" w:lineRule="auto"/>
        <w:ind w:left="0"/>
        <w:jc w:val="left"/>
      </w:pPr>
      <w:r>
        <w:rPr>
          <w:rFonts w:eastAsia="等线" w:ascii="Arial" w:cs="Arial" w:hAnsi="Arial"/>
          <w:b w:val="true"/>
          <w:sz w:val="22"/>
        </w:rPr>
        <w:t>学习方式差异</w:t>
      </w:r>
      <w:r>
        <w:rPr>
          <w:rFonts w:eastAsia="等线" w:ascii="Arial" w:cs="Arial" w:hAnsi="Arial"/>
          <w:sz w:val="22"/>
        </w:rPr>
        <w:t>：不同孩子对学习方式喜好不同，有的喜欢启发式教育，有的喜欢填鸭式教育。</w:t>
      </w:r>
    </w:p>
    <w:p>
      <w:pPr>
        <w:numPr>
          <w:numId w:val="17"/>
        </w:numPr>
        <w:spacing w:before="120" w:after="120" w:line="288" w:lineRule="auto"/>
        <w:ind w:left="0"/>
        <w:jc w:val="left"/>
      </w:pPr>
      <w:r>
        <w:rPr>
          <w:rFonts w:eastAsia="等线" w:ascii="Arial" w:cs="Arial" w:hAnsi="Arial"/>
          <w:b w:val="true"/>
          <w:sz w:val="22"/>
        </w:rPr>
        <w:t>学习痛苦问题</w:t>
      </w:r>
      <w:r>
        <w:rPr>
          <w:rFonts w:eastAsia="等线" w:ascii="Arial" w:cs="Arial" w:hAnsi="Arial"/>
          <w:sz w:val="22"/>
        </w:rPr>
        <w:t>：提出学习过程不一定是痛苦的，以自身高三逆袭经历说明痛苦学习过程反人性。</w:t>
      </w:r>
    </w:p>
    <w:p>
      <w:pPr>
        <w:numPr>
          <w:numId w:val="18"/>
        </w:numPr>
        <w:spacing w:before="120" w:after="120" w:line="288" w:lineRule="auto"/>
        <w:ind w:left="0"/>
        <w:jc w:val="left"/>
      </w:pPr>
      <w:r>
        <w:rPr>
          <w:rFonts w:eastAsia="等线" w:ascii="Arial" w:cs="Arial" w:hAnsi="Arial"/>
          <w:b w:val="true"/>
          <w:sz w:val="22"/>
        </w:rPr>
        <w:t>学习动力判断</w:t>
      </w:r>
      <w:r>
        <w:rPr>
          <w:rFonts w:eastAsia="等线" w:ascii="Arial" w:cs="Arial" w:hAnsi="Arial"/>
          <w:sz w:val="22"/>
        </w:rPr>
        <w:t>：各科学习成绩都差，基本可认定孩子存在学习动力问题。</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「学习其实是需要理由的。当你批评孩子不爱学习时，要反思孩子为什么要爱学习。」</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这句话突出了会议核心，引发对孩子学习动力来源的思考，让我们认识到不能盲目批评孩子不爱学习，要探寻背后的原因。</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「如果一个孩子成绩不好，千万不要怪他不爱学习，是因为目前他所得到的学习方式不是他喜欢的那种方式而已。」</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此句给出了孩子成绩不好的新视角，打破了传统将成绩不好归咎于不爱学习的观念，具有独特洞察，能引发共鸣。</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「如果看到一个孩子各科学习成绩都差，基本上就可以认定这个孩子肯定是学习动力的问题。」</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该句简洁地指出判断学习动力问题的关键依据，为判断孩子学习状况提供了实用的方法，能让读者快速理解。</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19"/>
        </w:numPr>
        <w:spacing w:before="120" w:after="120" w:line="288" w:lineRule="auto"/>
        <w:ind w:left="0"/>
        <w:jc w:val="left"/>
      </w:pPr>
      <w:r>
        <w:rPr>
          <w:rFonts w:eastAsia="等线" w:ascii="Arial" w:cs="Arial" w:hAnsi="Arial"/>
          <w:sz w:val="22"/>
        </w:rPr>
        <w:t>妙记：</w:t>
      </w:r>
      <w:hyperlink r:id="rId11">
        <w:r>
          <w:rPr>
            <w:rFonts w:eastAsia="等线" w:ascii="Arial" w:cs="Arial" w:hAnsi="Arial"/>
            <w:color w:val="3370ff"/>
            <w:sz w:val="22"/>
          </w:rPr>
          <w:t>55、M：重塑动力，让孩子爱上学习</w:t>
        </w:r>
      </w:hyperlink>
    </w:p>
    <w:p>
      <w:pPr>
        <w:numPr>
          <w:numId w:val="20"/>
        </w:numPr>
        <w:spacing w:before="120" w:after="120" w:line="288" w:lineRule="auto"/>
        <w:ind w:left="0"/>
        <w:jc w:val="left"/>
      </w:pPr>
      <w:r>
        <w:rPr>
          <w:rFonts w:eastAsia="等线" w:ascii="Arial" w:cs="Arial" w:hAnsi="Arial"/>
          <w:sz w:val="22"/>
        </w:rPr>
        <w:t>文字记录</w:t>
      </w:r>
    </w:p>
    <w:p>
      <w:pPr>
        <w:numPr>
          <w:numId w:val="21"/>
        </w:numPr>
        <w:spacing w:before="120" w:after="120" w:line="288" w:lineRule="auto"/>
        <w:ind w:left="453"/>
        <w:jc w:val="left"/>
      </w:pPr>
      <w:hyperlink r:id="rId12">
        <w:r>
          <w:rPr>
            <w:rFonts w:eastAsia="等线" w:ascii="Arial" w:cs="Arial" w:hAnsi="Arial"/>
            <w:color w:val="3370ff"/>
            <w:sz w:val="22"/>
          </w:rPr>
          <w:t>55、M：重塑动力，让孩子爱上学习 2026年1月22日</w:t>
        </w:r>
      </w:hyperlink>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42">
    <w:lvl>
      <w:numFmt w:val="bullet"/>
      <w:suff w:val="tab"/>
      <w:lvlText w:val="•"/>
      <w:rPr>
        <w:color w:val="3370ff"/>
      </w:rPr>
    </w:lvl>
  </w:abstractNum>
  <w:abstractNum w:abstractNumId="2243">
    <w:lvl>
      <w:numFmt w:val="bullet"/>
      <w:suff w:val="tab"/>
      <w:lvlText w:val="•"/>
      <w:rPr>
        <w:color w:val="3370ff"/>
      </w:rPr>
    </w:lvl>
  </w:abstractNum>
  <w:abstractNum w:abstractNumId="2244">
    <w:lvl>
      <w:numFmt w:val="bullet"/>
      <w:suff w:val="tab"/>
      <w:lvlText w:val="￮"/>
      <w:rPr>
        <w:color w:val="3370ff"/>
      </w:rPr>
    </w:lvl>
  </w:abstractNum>
  <w:abstractNum w:abstractNumId="2245">
    <w:lvl>
      <w:numFmt w:val="bullet"/>
      <w:suff w:val="tab"/>
      <w:lvlText w:val="￮"/>
      <w:rPr>
        <w:color w:val="3370ff"/>
      </w:rPr>
    </w:lvl>
  </w:abstractNum>
  <w:abstractNum w:abstractNumId="2246">
    <w:lvl>
      <w:numFmt w:val="bullet"/>
      <w:suff w:val="tab"/>
      <w:lvlText w:val="￮"/>
      <w:rPr>
        <w:color w:val="3370ff"/>
      </w:rPr>
    </w:lvl>
  </w:abstractNum>
  <w:abstractNum w:abstractNumId="2247">
    <w:lvl>
      <w:numFmt w:val="bullet"/>
      <w:suff w:val="tab"/>
      <w:lvlText w:val="•"/>
      <w:rPr>
        <w:color w:val="3370ff"/>
      </w:rPr>
    </w:lvl>
  </w:abstractNum>
  <w:abstractNum w:abstractNumId="2248">
    <w:lvl>
      <w:numFmt w:val="bullet"/>
      <w:suff w:val="tab"/>
      <w:lvlText w:val="•"/>
      <w:rPr>
        <w:color w:val="3370ff"/>
      </w:rPr>
    </w:lvl>
  </w:abstractNum>
  <w:abstractNum w:abstractNumId="2249">
    <w:lvl>
      <w:numFmt w:val="bullet"/>
      <w:suff w:val="tab"/>
      <w:lvlText w:val="￮"/>
      <w:rPr>
        <w:color w:val="3370ff"/>
      </w:rPr>
    </w:lvl>
  </w:abstractNum>
  <w:abstractNum w:abstractNumId="2250">
    <w:lvl>
      <w:numFmt w:val="bullet"/>
      <w:suff w:val="tab"/>
      <w:lvlText w:val="￮"/>
      <w:rPr>
        <w:color w:val="3370ff"/>
      </w:rPr>
    </w:lvl>
  </w:abstractNum>
  <w:abstractNum w:abstractNumId="2251">
    <w:lvl>
      <w:numFmt w:val="bullet"/>
      <w:suff w:val="tab"/>
      <w:lvlText w:val="￮"/>
      <w:rPr>
        <w:color w:val="3370ff"/>
      </w:rPr>
    </w:lvl>
  </w:abstractNum>
  <w:abstractNum w:abstractNumId="2252">
    <w:lvl>
      <w:numFmt w:val="bullet"/>
      <w:suff w:val="tab"/>
      <w:lvlText w:val="•"/>
      <w:rPr>
        <w:color w:val="3370ff"/>
      </w:rPr>
    </w:lvl>
  </w:abstractNum>
  <w:abstractNum w:abstractNumId="2253">
    <w:lvl>
      <w:numFmt w:val="bullet"/>
      <w:suff w:val="tab"/>
      <w:lvlText w:val="￮"/>
      <w:rPr>
        <w:color w:val="3370ff"/>
      </w:rPr>
    </w:lvl>
  </w:abstractNum>
  <w:abstractNum w:abstractNumId="2254">
    <w:lvl>
      <w:numFmt w:val="bullet"/>
      <w:suff w:val="tab"/>
      <w:lvlText w:val="￮"/>
      <w:rPr>
        <w:color w:val="3370ff"/>
      </w:rPr>
    </w:lvl>
  </w:abstractNum>
  <w:abstractNum w:abstractNumId="2255">
    <w:lvl>
      <w:numFmt w:val="bullet"/>
      <w:suff w:val="tab"/>
      <w:lvlText w:val="•"/>
      <w:rPr>
        <w:color w:val="3370ff"/>
      </w:rPr>
    </w:lvl>
  </w:abstractNum>
  <w:abstractNum w:abstractNumId="2256">
    <w:lvl>
      <w:numFmt w:val="bullet"/>
      <w:suff w:val="tab"/>
      <w:lvlText w:val="•"/>
      <w:rPr>
        <w:color w:val="3370ff"/>
      </w:rPr>
    </w:lvl>
  </w:abstractNum>
  <w:abstractNum w:abstractNumId="2257">
    <w:lvl>
      <w:numFmt w:val="bullet"/>
      <w:suff w:val="tab"/>
      <w:lvlText w:val="•"/>
      <w:rPr>
        <w:color w:val="3370ff"/>
      </w:rPr>
    </w:lvl>
  </w:abstractNum>
  <w:abstractNum w:abstractNumId="2258">
    <w:lvl>
      <w:numFmt w:val="bullet"/>
      <w:suff w:val="tab"/>
      <w:lvlText w:val="•"/>
      <w:rPr>
        <w:color w:val="3370ff"/>
      </w:rPr>
    </w:lvl>
  </w:abstractNum>
  <w:abstractNum w:abstractNumId="2259">
    <w:lvl>
      <w:numFmt w:val="bullet"/>
      <w:suff w:val="tab"/>
      <w:lvlText w:val="•"/>
      <w:rPr>
        <w:color w:val="3370ff"/>
      </w:rPr>
    </w:lvl>
  </w:abstractNum>
  <w:abstractNum w:abstractNumId="2260">
    <w:lvl>
      <w:numFmt w:val="bullet"/>
      <w:suff w:val="tab"/>
      <w:lvlText w:val="•"/>
      <w:rPr>
        <w:color w:val="3370ff"/>
      </w:rPr>
    </w:lvl>
  </w:abstractNum>
  <w:abstractNum w:abstractNumId="2261">
    <w:lvl>
      <w:numFmt w:val="bullet"/>
      <w:suff w:val="tab"/>
      <w:lvlText w:val="•"/>
      <w:rPr>
        <w:color w:val="3370ff"/>
      </w:rPr>
    </w:lvl>
  </w:abstractNum>
  <w:abstractNum w:abstractNumId="2262">
    <w:lvl>
      <w:numFmt w:val="bullet"/>
      <w:suff w:val="tab"/>
      <w:lvlText w:val="￮"/>
      <w:rPr>
        <w:color w:val="3370ff"/>
      </w:rPr>
    </w:lvl>
  </w:abstractNum>
  <w:num w:numId="1">
    <w:abstractNumId w:val="2242"/>
  </w:num>
  <w:num w:numId="2">
    <w:abstractNumId w:val="2243"/>
  </w:num>
  <w:num w:numId="3">
    <w:abstractNumId w:val="2244"/>
  </w:num>
  <w:num w:numId="4">
    <w:abstractNumId w:val="2245"/>
  </w:num>
  <w:num w:numId="5">
    <w:abstractNumId w:val="2246"/>
  </w:num>
  <w:num w:numId="6">
    <w:abstractNumId w:val="2247"/>
  </w:num>
  <w:num w:numId="7">
    <w:abstractNumId w:val="2248"/>
  </w:num>
  <w:num w:numId="8">
    <w:abstractNumId w:val="2249"/>
  </w:num>
  <w:num w:numId="9">
    <w:abstractNumId w:val="2250"/>
  </w:num>
  <w:num w:numId="10">
    <w:abstractNumId w:val="2251"/>
  </w:num>
  <w:num w:numId="11">
    <w:abstractNumId w:val="2252"/>
  </w:num>
  <w:num w:numId="12">
    <w:abstractNumId w:val="2253"/>
  </w:num>
  <w:num w:numId="13">
    <w:abstractNumId w:val="2254"/>
  </w:num>
  <w:num w:numId="14">
    <w:abstractNumId w:val="2255"/>
  </w:num>
  <w:num w:numId="15">
    <w:abstractNumId w:val="2256"/>
  </w:num>
  <w:num w:numId="16">
    <w:abstractNumId w:val="2257"/>
  </w:num>
  <w:num w:numId="17">
    <w:abstractNumId w:val="2258"/>
  </w:num>
  <w:num w:numId="18">
    <w:abstractNumId w:val="2259"/>
  </w:num>
  <w:num w:numId="19">
    <w:abstractNumId w:val="2260"/>
  </w:num>
  <w:num w:numId="20">
    <w:abstractNumId w:val="2261"/>
  </w:num>
  <w:num w:numId="21">
    <w:abstractNumId w:val="226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89z68ert7aaz7nxly2?t=495000" TargetMode="External" Type="http://schemas.openxmlformats.org/officeDocument/2006/relationships/hyperlink"/><Relationship Id="rId11" Target="https://hcnytq72r1ge.feishu.cn/minutes/obcnfo89z68ert7aaz7nxly2?from=ai_minutes" TargetMode="External" Type="http://schemas.openxmlformats.org/officeDocument/2006/relationships/hyperlink"/><Relationship Id="rId12" Target="https://hcnytq72r1ge.feishu.cn/docx/TvDSd5VeUo6olTxTGrNcE0rMngh" TargetMode="External" Type="http://schemas.openxmlformats.org/officeDocument/2006/relationships/hyperlink"/><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o89z68ert7aaz7nxly2?t=2000" TargetMode="External" Type="http://schemas.openxmlformats.org/officeDocument/2006/relationships/hyperlink"/><Relationship Id="rId9" Target="https://hcnytq72r1ge.feishu.cn/minutes/obcnfo89z68ert7aaz7nxly2?t=373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2026-01-26T09:17:54Z</dcterms:created>
  <dc:creator>Apache POI</dc:creator>
</cp:coreProperties>
</file>