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智能纪要：57、动力塑造下策：强化效应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会议主题：57、动力塑造下策：强化效应</w:t>
            </w:r>
          </w:p>
          <w:p>
            <w:pPr>
              <w:spacing w:before="120" w:after="120" w:line="288" w:lineRule="auto"/>
              <w:ind w:left="0"/>
              <w:jc w:val="left"/>
            </w:pPr>
            <w:r>
              <w:rPr>
                <w:rFonts w:eastAsia="等线" w:ascii="Arial" w:cs="Arial" w:hAnsi="Arial"/>
                <w:color w:val="646a73"/>
                <w:sz w:val="22"/>
              </w:rPr>
              <w:t>上传时间：1月22号（周四） 22:27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24479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447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本次会议围绕动力塑造、教育方式展开讨论，说话人1通过多个案例阐述了外部刺激塑造动力的危害、游戏化教育的重要性以及传统教育存在的问题，内容如下：</w:t>
      </w:r>
    </w:p>
    <w:p>
      <w:pPr>
        <w:numPr>
          <w:numId w:val="1"/>
        </w:numPr>
        <w:spacing w:before="120" w:after="120" w:line="288" w:lineRule="auto"/>
        <w:ind w:left="0"/>
        <w:jc w:val="left"/>
      </w:pPr>
      <w:r>
        <w:rPr>
          <w:rFonts w:eastAsia="等线" w:ascii="Arial" w:cs="Arial" w:hAnsi="Arial"/>
          <w:b w:val="true"/>
          <w:sz w:val="22"/>
        </w:rPr>
        <w:t>动力塑造方式及危害</w:t>
      </w:r>
    </w:p>
    <w:p>
      <w:pPr>
        <w:numPr>
          <w:numId w:val="2"/>
        </w:numPr>
        <w:spacing w:before="120" w:after="120" w:line="288" w:lineRule="auto"/>
        <w:ind w:left="453"/>
        <w:jc w:val="left"/>
      </w:pPr>
      <w:r>
        <w:rPr>
          <w:rFonts w:eastAsia="等线" w:ascii="Arial" w:cs="Arial" w:hAnsi="Arial"/>
          <w:b w:val="true"/>
          <w:sz w:val="22"/>
        </w:rPr>
        <w:t>原发性动力与非原生动力塑造</w:t>
      </w:r>
    </w:p>
    <w:p>
      <w:pPr>
        <w:numPr>
          <w:numId w:val="3"/>
        </w:numPr>
        <w:spacing w:before="120" w:after="120" w:line="288" w:lineRule="auto"/>
        <w:ind w:left="907"/>
        <w:jc w:val="left"/>
      </w:pPr>
      <w:r>
        <w:rPr>
          <w:rFonts w:eastAsia="等线" w:ascii="Arial" w:cs="Arial" w:hAnsi="Arial"/>
          <w:sz w:val="22"/>
        </w:rPr>
        <w:t>原发性动力：指人本来就喜欢做某些事情的内在动力。</w:t>
      </w:r>
    </w:p>
    <w:p>
      <w:pPr>
        <w:numPr>
          <w:numId w:val="4"/>
        </w:numPr>
        <w:spacing w:before="120" w:after="120" w:line="288" w:lineRule="auto"/>
        <w:ind w:left="907"/>
        <w:jc w:val="left"/>
      </w:pPr>
      <w:r>
        <w:rPr>
          <w:rFonts w:eastAsia="等线" w:ascii="Arial" w:cs="Arial" w:hAnsi="Arial"/>
          <w:sz w:val="22"/>
        </w:rPr>
        <w:t>非原生动力塑造案例：说话人1讲述老人通过给钱让孩子扔石头，后停止给钱使孩子失去动力的故事，以及动物饲养员用食物奖励训练动物的例子，说明这种将行为与激励挂钩的方式虽常用但存在问题。</w:t>
      </w:r>
    </w:p>
    <w:p>
      <w:pPr>
        <w:numPr>
          <w:numId w:val="5"/>
        </w:numPr>
        <w:spacing w:before="120" w:after="120" w:line="288" w:lineRule="auto"/>
        <w:ind w:left="453"/>
        <w:jc w:val="left"/>
      </w:pPr>
      <w:r>
        <w:rPr>
          <w:rFonts w:eastAsia="等线" w:ascii="Arial" w:cs="Arial" w:hAnsi="Arial"/>
          <w:b w:val="true"/>
          <w:sz w:val="22"/>
        </w:rPr>
        <w:t>外部刺激塑造动力的危害</w:t>
      </w:r>
    </w:p>
    <w:p>
      <w:pPr>
        <w:numPr>
          <w:numId w:val="6"/>
        </w:numPr>
        <w:spacing w:before="120" w:after="120" w:line="288" w:lineRule="auto"/>
        <w:ind w:left="907"/>
        <w:jc w:val="left"/>
      </w:pPr>
      <w:r>
        <w:rPr>
          <w:rFonts w:eastAsia="等线" w:ascii="Arial" w:cs="Arial" w:hAnsi="Arial"/>
          <w:sz w:val="22"/>
        </w:rPr>
        <w:t>破坏原生热爱：以小伙伴因成绩好获金钱奖励，后因奖励停止而出现不良行为为例，说明这种方式会破坏人对事物的真诚热爱，导致动力极化效应。</w:t>
      </w:r>
    </w:p>
    <w:p>
      <w:pPr>
        <w:numPr>
          <w:numId w:val="7"/>
        </w:numPr>
        <w:spacing w:before="120" w:after="120" w:line="288" w:lineRule="auto"/>
        <w:ind w:left="907"/>
        <w:jc w:val="left"/>
      </w:pPr>
      <w:r>
        <w:rPr>
          <w:rFonts w:eastAsia="等线" w:ascii="Arial" w:cs="Arial" w:hAnsi="Arial"/>
          <w:sz w:val="22"/>
        </w:rPr>
        <w:t>导致学习动机异化：说话人1认为社会常用的“做到奖励，做不到批评”的方式会使人们忘掉自己本来的思考方式，将学习动机与外部刺激过度关联。</w:t>
      </w:r>
    </w:p>
    <w:p>
      <w:pPr>
        <w:numPr>
          <w:numId w:val="8"/>
        </w:numPr>
        <w:spacing w:before="120" w:after="120" w:line="288" w:lineRule="auto"/>
        <w:ind w:left="0"/>
        <w:jc w:val="left"/>
      </w:pPr>
      <w:r>
        <w:rPr>
          <w:rFonts w:eastAsia="等线" w:ascii="Arial" w:cs="Arial" w:hAnsi="Arial"/>
          <w:b w:val="true"/>
          <w:sz w:val="22"/>
        </w:rPr>
        <w:t>游戏化教育的成功案例</w:t>
      </w:r>
    </w:p>
    <w:p>
      <w:pPr>
        <w:numPr>
          <w:numId w:val="9"/>
        </w:numPr>
        <w:spacing w:before="120" w:after="120" w:line="288" w:lineRule="auto"/>
        <w:ind w:left="453"/>
        <w:jc w:val="left"/>
      </w:pPr>
      <w:r>
        <w:rPr>
          <w:rFonts w:eastAsia="等线" w:ascii="Arial" w:cs="Arial" w:hAnsi="Arial"/>
          <w:b w:val="true"/>
          <w:sz w:val="22"/>
        </w:rPr>
        <w:t>传统英语教学的困境</w:t>
      </w:r>
      <w:r>
        <w:rPr>
          <w:rFonts w:eastAsia="等线" w:ascii="Arial" w:cs="Arial" w:hAnsi="Arial"/>
          <w:sz w:val="22"/>
        </w:rPr>
        <w:t>：说话人1的岳父岳母希望女儿英语更好，提出在家讲英文，但因不适应未坚持。后用卡片教单词，孩子学到 100 多个单词时就不耐烦，学习效果差。</w:t>
      </w:r>
    </w:p>
    <w:p>
      <w:pPr>
        <w:numPr>
          <w:numId w:val="10"/>
        </w:numPr>
        <w:spacing w:before="120" w:after="120" w:line="288" w:lineRule="auto"/>
        <w:ind w:left="453"/>
        <w:jc w:val="left"/>
      </w:pPr>
      <w:r>
        <w:rPr>
          <w:rFonts w:eastAsia="等线" w:ascii="Arial" w:cs="Arial" w:hAnsi="Arial"/>
          <w:b w:val="true"/>
          <w:sz w:val="22"/>
        </w:rPr>
        <w:t>游戏化英语教学的成效</w:t>
      </w:r>
    </w:p>
    <w:p>
      <w:pPr>
        <w:numPr>
          <w:numId w:val="11"/>
        </w:numPr>
        <w:spacing w:before="120" w:after="120" w:line="288" w:lineRule="auto"/>
        <w:ind w:left="907"/>
        <w:jc w:val="left"/>
      </w:pPr>
      <w:r>
        <w:rPr>
          <w:rFonts w:eastAsia="等线" w:ascii="Arial" w:cs="Arial" w:hAnsi="Arial"/>
          <w:sz w:val="22"/>
        </w:rPr>
        <w:t>软件引入：说话人1的朋友推荐“蛋糕英语”软件，其采用游戏化教学机制，有即时反馈、各种挑战排行和打卡等功能。</w:t>
      </w:r>
    </w:p>
    <w:p>
      <w:pPr>
        <w:numPr>
          <w:numId w:val="12"/>
        </w:numPr>
        <w:spacing w:before="120" w:after="120" w:line="288" w:lineRule="auto"/>
        <w:ind w:left="907"/>
        <w:jc w:val="left"/>
      </w:pPr>
      <w:r>
        <w:rPr>
          <w:rFonts w:eastAsia="等线" w:ascii="Arial" w:cs="Arial" w:hAnsi="Arial"/>
          <w:sz w:val="22"/>
        </w:rPr>
        <w:t>孩子学习态度转变：女儿从开始需提醒到每天晚上 9 点主动要求“玩”，持续使用三年，词汇量在小学三年级时达到约 3000，英语成绩一直全班第一，从此学英语不用操心。</w:t>
      </w:r>
    </w:p>
    <w:p>
      <w:pPr>
        <w:numPr>
          <w:numId w:val="13"/>
        </w:numPr>
        <w:spacing w:before="120" w:after="120" w:line="288" w:lineRule="auto"/>
        <w:ind w:left="453"/>
        <w:jc w:val="left"/>
      </w:pPr>
      <w:r>
        <w:rPr>
          <w:rFonts w:eastAsia="等线" w:ascii="Arial" w:cs="Arial" w:hAnsi="Arial"/>
          <w:b w:val="true"/>
          <w:sz w:val="22"/>
        </w:rPr>
        <w:t>游戏化教育的启示</w:t>
      </w:r>
      <w:r>
        <w:rPr>
          <w:rFonts w:eastAsia="等线" w:ascii="Arial" w:cs="Arial" w:hAnsi="Arial"/>
          <w:sz w:val="22"/>
        </w:rPr>
        <w:t>：谷歌 CEO Eric Schmidt 提出教育的未来是游戏化，说话人1认为孩子不喜欢学习可能是教学方式不符合其喜好，应将教育过程设计得像游戏一样，让孩子产生正向动力。</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79"/>
        <w:gridCol w:w="7038"/>
        <w:gridCol w:w="662"/>
      </w:tblGrid>
      <w:tr>
        <w:tc>
          <w:tcPr>
            <w:tcW w:w="579" w:type="dxa"/>
            <w:tcMar>
              <w:top w:type="dxa" w:w="60"/>
              <w:left w:type="dxa" w:w="120"/>
              <w:bottom w:type="dxa" w:w="30"/>
              <w:right w:type="dxa" w:w="120"/>
            </w:tcMar>
          </w:tcPr>
          <w:p>
            <w:pPr>
              <w:spacing w:before="120" w:after="120" w:line="288" w:lineRule="auto"/>
              <w:ind w:left="0"/>
              <w:jc w:val="left"/>
            </w:pPr>
          </w:p>
        </w:tc>
        <w:tc>
          <w:tcPr>
            <w:tcW w:w="7038" w:type="dxa"/>
            <w:tcMar>
              <w:top w:type="dxa" w:w="60"/>
              <w:left w:type="dxa" w:w="120"/>
              <w:bottom w:type="dxa" w:w="30"/>
              <w:right w:type="dxa" w:w="120"/>
            </w:tcMar>
          </w:tcPr>
          <w:p>
            <w:pPr>
              <w:spacing w:before="120" w:after="120" w:line="288" w:lineRule="auto"/>
              <w:ind w:left="0"/>
              <w:jc w:val="center"/>
            </w:pPr>
            <w:r>
              <w:drawing>
                <wp:inline distT="0" distR="0" distB="0" distL="0">
                  <wp:extent cx="4314825" cy="12858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4314825" cy="12858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传统英语教学与游戏化英语教学对比</w:t>
              <w:br/>
            </w:r>
          </w:p>
        </w:tc>
        <w:tc>
          <w:tcPr>
            <w:tcW w:w="662" w:type="dxa"/>
            <w:tcMar>
              <w:top w:type="dxa" w:w="60"/>
              <w:left w:type="dxa" w:w="120"/>
              <w:bottom w:type="dxa" w:w="30"/>
              <w:right w:type="dxa" w:w="120"/>
            </w:tcMar>
          </w:tcPr>
          <w:p>
            <w:pPr>
              <w:spacing w:before="120" w:after="120" w:line="288" w:lineRule="auto"/>
              <w:ind w:left="0"/>
              <w:jc w:val="left"/>
            </w:pPr>
          </w:p>
        </w:tc>
      </w:tr>
    </w:tbl>
    <w:p>
      <w:pPr>
        <w:numPr>
          <w:numId w:val="14"/>
        </w:numPr>
        <w:spacing w:before="120" w:after="120" w:line="288" w:lineRule="auto"/>
        <w:ind w:left="0"/>
        <w:jc w:val="left"/>
      </w:pPr>
      <w:r>
        <w:rPr>
          <w:rFonts w:eastAsia="等线" w:ascii="Arial" w:cs="Arial" w:hAnsi="Arial"/>
          <w:b w:val="true"/>
          <w:sz w:val="22"/>
        </w:rPr>
        <w:t>传统教育存在的问题及创新教育方式</w:t>
      </w:r>
    </w:p>
    <w:p>
      <w:pPr>
        <w:numPr>
          <w:numId w:val="15"/>
        </w:numPr>
        <w:spacing w:before="120" w:after="120" w:line="288" w:lineRule="auto"/>
        <w:ind w:left="453"/>
        <w:jc w:val="left"/>
      </w:pPr>
      <w:r>
        <w:rPr>
          <w:rFonts w:eastAsia="等线" w:ascii="Arial" w:cs="Arial" w:hAnsi="Arial"/>
          <w:b w:val="true"/>
          <w:sz w:val="22"/>
        </w:rPr>
        <w:t>传统教育扼杀创新</w:t>
      </w:r>
    </w:p>
    <w:p>
      <w:pPr>
        <w:numPr>
          <w:numId w:val="16"/>
        </w:numPr>
        <w:spacing w:before="120" w:after="120" w:line="288" w:lineRule="auto"/>
        <w:ind w:left="907"/>
        <w:jc w:val="left"/>
      </w:pPr>
      <w:r>
        <w:rPr>
          <w:rFonts w:eastAsia="等线" w:ascii="Arial" w:cs="Arial" w:hAnsi="Arial"/>
          <w:sz w:val="22"/>
        </w:rPr>
        <w:t>强化效应的负面作用：说话人1反对传统教育学中宣扬的强化效应，认为其负面作用被忽略，这种方式会使学生思想高度同质化，像洗脑一样，让学生失去个性和创造力。</w:t>
      </w:r>
    </w:p>
    <w:p>
      <w:pPr>
        <w:numPr>
          <w:numId w:val="17"/>
        </w:numPr>
        <w:spacing w:before="120" w:after="120" w:line="288" w:lineRule="auto"/>
        <w:ind w:left="907"/>
        <w:jc w:val="left"/>
      </w:pPr>
      <w:r>
        <w:rPr>
          <w:rFonts w:eastAsia="等线" w:ascii="Arial" w:cs="Arial" w:hAnsi="Arial"/>
          <w:sz w:val="22"/>
        </w:rPr>
        <w:t>语文课标准答案问题：以语文课有标准答案为例，说明传统教育不鼓励学生表达与标准答案冲突的观点，不利于培养学生的思辨能力和创新思维。</w:t>
      </w:r>
    </w:p>
    <w:p>
      <w:pPr>
        <w:numPr>
          <w:numId w:val="18"/>
        </w:numPr>
        <w:spacing w:before="120" w:after="120" w:line="288" w:lineRule="auto"/>
        <w:ind w:left="453"/>
        <w:jc w:val="left"/>
      </w:pPr>
      <w:r>
        <w:rPr>
          <w:rFonts w:eastAsia="等线" w:ascii="Arial" w:cs="Arial" w:hAnsi="Arial"/>
          <w:b w:val="true"/>
          <w:sz w:val="22"/>
        </w:rPr>
        <w:t>创新教育方式案例</w:t>
      </w:r>
      <w:r>
        <w:rPr>
          <w:rFonts w:eastAsia="等线" w:ascii="Arial" w:cs="Arial" w:hAnsi="Arial"/>
          <w:sz w:val="22"/>
        </w:rPr>
        <w:t>：Elon Musk 小学未接受正规教育，其父母是冒险家、旅行家，带他四处旅行。他为了教育自己的 9 个孩子专门建了一所学生仅十多人的学校，让孩子学习自己喜欢的东西。说话人1认为这种教育方式尊重孩子个性，更能培养创造性人才。</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7">
        <w:r>
          <w:rPr>
            <w:rFonts w:eastAsia="等线" w:ascii="Arial" w:cs="Arial" w:hAnsi="Arial"/>
            <w:color w:val="3370ff"/>
            <w:sz w:val="22"/>
          </w:rPr>
          <w:t>00:01</w:t>
        </w:r>
      </w:hyperlink>
      <w:r>
        <w:rPr>
          <w:rFonts w:eastAsia="等线" w:ascii="Arial" w:cs="Arial" w:hAnsi="Arial"/>
          <w:b w:val="true"/>
          <w:sz w:val="22"/>
        </w:rPr>
        <w:t xml:space="preserve">  动力塑造方法及非原生动力塑造的弊端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讨论动力的塑造，提到有原发性动力，还介绍一种利用人性塑造动力的方式。通过老人应对孩子扔石头的故事说明，先对行为给予激励（如扔石头给钱），后破坏激励使对方失去动力，此方法在动物饲养训练中常用，但讲述者不太支持，认为会破坏人的原生性。</w:t>
            </w:r>
          </w:p>
        </w:tc>
      </w:tr>
    </w:tbl>
    <w:p>
      <w:pPr>
        <w:spacing w:before="120" w:after="120" w:line="288" w:lineRule="auto"/>
        <w:ind w:left="0"/>
        <w:jc w:val="left"/>
      </w:pPr>
      <w:hyperlink r:id="rId8">
        <w:r>
          <w:rPr>
            <w:rFonts w:eastAsia="等线" w:ascii="Arial" w:cs="Arial" w:hAnsi="Arial"/>
            <w:color w:val="3370ff"/>
            <w:sz w:val="22"/>
          </w:rPr>
          <w:t>02:13</w:t>
        </w:r>
      </w:hyperlink>
      <w:r>
        <w:rPr>
          <w:rFonts w:eastAsia="等线" w:ascii="Arial" w:cs="Arial" w:hAnsi="Arial"/>
          <w:b w:val="true"/>
          <w:sz w:val="22"/>
        </w:rPr>
        <w:t xml:space="preserve">  学习动机强化理论弊端及负向激励危害</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以小伙伴因父母以钱激励学习，后因高一停给钱而走向歧途为例，指出以外部金钱刺激挂钩学习动机的方法虽有效但要慎用，会破坏人对事物的真诚热爱及内心平衡。还提及学习动机的强化理论，有正向、负向强化，负向激励易导致孩子叛逆。</w:t>
            </w:r>
          </w:p>
        </w:tc>
      </w:tr>
    </w:tbl>
    <w:p>
      <w:pPr>
        <w:spacing w:before="120" w:after="120" w:line="288" w:lineRule="auto"/>
        <w:ind w:left="0"/>
        <w:jc w:val="left"/>
      </w:pPr>
      <w:hyperlink r:id="rId9">
        <w:r>
          <w:rPr>
            <w:rFonts w:eastAsia="等线" w:ascii="Arial" w:cs="Arial" w:hAnsi="Arial"/>
            <w:color w:val="3370ff"/>
            <w:sz w:val="22"/>
          </w:rPr>
          <w:t>04:37</w:t>
        </w:r>
      </w:hyperlink>
      <w:r>
        <w:rPr>
          <w:rFonts w:eastAsia="等线" w:ascii="Arial" w:cs="Arial" w:hAnsi="Arial"/>
          <w:b w:val="true"/>
          <w:sz w:val="22"/>
        </w:rPr>
        <w:t xml:space="preserve">  女儿学英语案例揭示教育游戏化的重要性</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分享女儿学英语的例子。起初按岳父岳母要求在家说英文、用卡片教单词效果不佳，后用“蛋糕英语”软件，以游戏化教学让女儿主动学习三年，词汇量达3000左右，英语成绩优异。他由此受启发，认为教育未来应游戏化，还反对强化效应式的教育方式。</w:t>
            </w:r>
          </w:p>
        </w:tc>
      </w:tr>
    </w:tbl>
    <w:p>
      <w:pPr>
        <w:spacing w:before="120" w:after="120" w:line="288" w:lineRule="auto"/>
        <w:ind w:left="0"/>
        <w:jc w:val="left"/>
      </w:pPr>
      <w:hyperlink r:id="rId10">
        <w:r>
          <w:rPr>
            <w:rFonts w:eastAsia="等线" w:ascii="Arial" w:cs="Arial" w:hAnsi="Arial"/>
            <w:color w:val="3370ff"/>
            <w:sz w:val="22"/>
          </w:rPr>
          <w:t>11:15</w:t>
        </w:r>
      </w:hyperlink>
      <w:r>
        <w:rPr>
          <w:rFonts w:eastAsia="等线" w:ascii="Arial" w:cs="Arial" w:hAnsi="Arial"/>
          <w:b w:val="true"/>
          <w:sz w:val="22"/>
        </w:rPr>
        <w:t xml:space="preserve">  传统学校扼杀创新，对比马斯克独特教育方式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指出传统学校正在扼杀创新，以语文课有标准答案、不鼓励表达与标准答案冲突的观点为例说明其同化现象会阻碍创造性人才的培养。还提及商务部长疑惑中国为何没有马斯克，介绍了马斯克的成长及教育方式，他父母带他旅行，他自己为孩子建小规模学校，认为不应强迫孩子学不喜欢的东西。</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会议内容为关于教育方式的分享与讨论，无关键决策。会议关键内容总结如下：</w:t>
      </w:r>
    </w:p>
    <w:p>
      <w:pPr>
        <w:numPr>
          <w:numId w:val="19"/>
        </w:numPr>
        <w:spacing w:before="120" w:after="120" w:line="288" w:lineRule="auto"/>
        <w:ind w:left="0"/>
        <w:jc w:val="left"/>
      </w:pPr>
      <w:r>
        <w:rPr>
          <w:rFonts w:eastAsia="等线" w:ascii="Arial" w:cs="Arial" w:hAnsi="Arial"/>
          <w:b w:val="true"/>
          <w:sz w:val="22"/>
        </w:rPr>
        <w:t>激励式教育的弊端</w:t>
      </w:r>
      <w:r>
        <w:rPr>
          <w:rFonts w:eastAsia="等线" w:ascii="Arial" w:cs="Arial" w:hAnsi="Arial"/>
          <w:sz w:val="22"/>
        </w:rPr>
        <w:t>：说话人1认为将学习动力与外部金钱刺激挂钩的激励方法虽有效但需慎用，会破坏人对事物的真诚热爱，导致学习动机的极化效应。</w:t>
      </w:r>
    </w:p>
    <w:p>
      <w:pPr>
        <w:numPr>
          <w:numId w:val="20"/>
        </w:numPr>
        <w:spacing w:before="120" w:after="120" w:line="288" w:lineRule="auto"/>
        <w:ind w:left="0"/>
        <w:jc w:val="left"/>
      </w:pPr>
      <w:r>
        <w:rPr>
          <w:rFonts w:eastAsia="等线" w:ascii="Arial" w:cs="Arial" w:hAnsi="Arial"/>
          <w:b w:val="true"/>
          <w:sz w:val="22"/>
        </w:rPr>
        <w:t>游戏化教育的优势</w:t>
      </w:r>
      <w:r>
        <w:rPr>
          <w:rFonts w:eastAsia="等线" w:ascii="Arial" w:cs="Arial" w:hAnsi="Arial"/>
          <w:sz w:val="22"/>
        </w:rPr>
        <w:t>：说话人1以女儿学英语为例，说明游戏化教学能让孩子将学习视为玩，产生正向动力。他引用谷歌CEO观点，认为教育的未来应是游戏化。</w:t>
      </w:r>
    </w:p>
    <w:p>
      <w:pPr>
        <w:numPr>
          <w:numId w:val="21"/>
        </w:numPr>
        <w:spacing w:before="120" w:after="120" w:line="288" w:lineRule="auto"/>
        <w:ind w:left="0"/>
        <w:jc w:val="left"/>
      </w:pPr>
      <w:r>
        <w:rPr>
          <w:rFonts w:eastAsia="等线" w:ascii="Arial" w:cs="Arial" w:hAnsi="Arial"/>
          <w:b w:val="true"/>
          <w:sz w:val="22"/>
        </w:rPr>
        <w:t>传统教育的问题</w:t>
      </w:r>
      <w:r>
        <w:rPr>
          <w:rFonts w:eastAsia="等线" w:ascii="Arial" w:cs="Arial" w:hAnsi="Arial"/>
          <w:sz w:val="22"/>
        </w:rPr>
        <w:t>：说话人1指出传统教育的强化效应会扼杀创新，使思想同质化，如语文课设标准答案，不利于培养创造性人才。</w:t>
      </w:r>
    </w:p>
    <w:p>
      <w:pPr>
        <w:numPr>
          <w:numId w:val="22"/>
        </w:numPr>
        <w:spacing w:before="120" w:after="120" w:line="288" w:lineRule="auto"/>
        <w:ind w:left="0"/>
        <w:jc w:val="left"/>
      </w:pPr>
      <w:r>
        <w:rPr>
          <w:rFonts w:eastAsia="等线" w:ascii="Arial" w:cs="Arial" w:hAnsi="Arial"/>
          <w:b w:val="true"/>
          <w:sz w:val="22"/>
        </w:rPr>
        <w:t>不同教育方式案例</w:t>
      </w:r>
      <w:r>
        <w:rPr>
          <w:rFonts w:eastAsia="等线" w:ascii="Arial" w:cs="Arial" w:hAnsi="Arial"/>
          <w:sz w:val="22"/>
        </w:rPr>
        <w:t>：说话人1列举伊隆·马斯克及其父母的教育方式，强调让孩子学习自己喜欢的东西、避免标准化教育的重要性。</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「特别不鼓励大家把学习的动力、动机和外部的金钱刺激或不必要的刺激挂钩，这会破坏其原本的平衡。」</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突出了会议中关于激励式教育弊端的核心观点，引发对教育方式的思考。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「教育的未来是游戏化，未来一切的教育应该像游戏一样，这样才符合人性。」</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提出新颖的教育理念，强调游戏化教育的重要性，具有独特洞察。</w:t>
      </w:r>
    </w:p>
    <w:p>
      <w:pPr>
        <w:spacing w:before="120" w:after="120" w:line="288" w:lineRule="auto"/>
        <w:ind w:left="0"/>
        <w:jc w:val="left"/>
      </w:pPr>
    </w:p>
    <w:p>
      <w:pPr>
        <w:spacing w:before="120" w:after="120" w:line="288" w:lineRule="auto"/>
        <w:ind w:left="0"/>
        <w:jc w:val="left"/>
      </w:pPr>
      <w:r>
        <w:rPr>
          <w:rFonts w:eastAsia="等线" w:ascii="Arial" w:cs="Arial" w:hAnsi="Arial"/>
          <w:sz w:val="22"/>
        </w:rPr>
        <w:t>「现在的传统学校正在扼杀创新，通过强化效应让所有人的思想高度同质化。」</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深刻指出传统教育存在的问题，能引发对传统教育模式的反思。</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23"/>
        </w:numPr>
        <w:spacing w:before="120" w:after="120" w:line="288" w:lineRule="auto"/>
        <w:ind w:left="0"/>
        <w:jc w:val="left"/>
      </w:pPr>
      <w:r>
        <w:rPr>
          <w:rFonts w:eastAsia="等线" w:ascii="Arial" w:cs="Arial" w:hAnsi="Arial"/>
          <w:sz w:val="22"/>
        </w:rPr>
        <w:t>妙记：</w:t>
      </w:r>
      <w:hyperlink r:id="rId11">
        <w:r>
          <w:rPr>
            <w:rFonts w:eastAsia="等线" w:ascii="Arial" w:cs="Arial" w:hAnsi="Arial"/>
            <w:color w:val="3370ff"/>
            <w:sz w:val="22"/>
          </w:rPr>
          <w:t>57、动力塑造下策：强化效应</w:t>
        </w:r>
      </w:hyperlink>
    </w:p>
    <w:p>
      <w:pPr>
        <w:numPr>
          <w:numId w:val="24"/>
        </w:numPr>
        <w:spacing w:before="120" w:after="120" w:line="288" w:lineRule="auto"/>
        <w:ind w:left="0"/>
        <w:jc w:val="left"/>
      </w:pPr>
      <w:r>
        <w:rPr>
          <w:rFonts w:eastAsia="等线" w:ascii="Arial" w:cs="Arial" w:hAnsi="Arial"/>
          <w:sz w:val="22"/>
        </w:rPr>
        <w:t>文字记录</w:t>
      </w:r>
    </w:p>
    <w:p>
      <w:pPr>
        <w:numPr>
          <w:numId w:val="25"/>
        </w:numPr>
        <w:spacing w:before="120" w:after="120" w:line="288" w:lineRule="auto"/>
        <w:ind w:left="453"/>
        <w:jc w:val="left"/>
      </w:pPr>
      <w:hyperlink r:id="rId12">
        <w:r>
          <w:rPr>
            <w:rFonts w:eastAsia="等线" w:ascii="Arial" w:cs="Arial" w:hAnsi="Arial"/>
            <w:color w:val="3370ff"/>
            <w:sz w:val="22"/>
          </w:rPr>
          <w:t>57、动力塑造下策：强化效应 2026年1月22日</w:t>
        </w:r>
      </w:hyperlink>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90398">
    <w:lvl>
      <w:numFmt w:val="bullet"/>
      <w:suff w:val="tab"/>
      <w:lvlText w:val="•"/>
      <w:rPr>
        <w:color w:val="3370ff"/>
      </w:rPr>
    </w:lvl>
  </w:abstractNum>
  <w:abstractNum w:abstractNumId="390399">
    <w:lvl>
      <w:numFmt w:val="bullet"/>
      <w:suff w:val="tab"/>
      <w:lvlText w:val="￮"/>
      <w:rPr>
        <w:color w:val="3370ff"/>
      </w:rPr>
    </w:lvl>
  </w:abstractNum>
  <w:abstractNum w:abstractNumId="390400">
    <w:lvl>
      <w:numFmt w:val="bullet"/>
      <w:suff w:val="tab"/>
      <w:lvlText w:val="▪"/>
      <w:rPr>
        <w:color w:val="3370ff"/>
        <w:sz w:val="11"/>
      </w:rPr>
    </w:lvl>
  </w:abstractNum>
  <w:abstractNum w:abstractNumId="390401">
    <w:lvl>
      <w:numFmt w:val="bullet"/>
      <w:suff w:val="tab"/>
      <w:lvlText w:val="▪"/>
      <w:rPr>
        <w:color w:val="3370ff"/>
        <w:sz w:val="11"/>
      </w:rPr>
    </w:lvl>
  </w:abstractNum>
  <w:abstractNum w:abstractNumId="390402">
    <w:lvl>
      <w:numFmt w:val="bullet"/>
      <w:suff w:val="tab"/>
      <w:lvlText w:val="￮"/>
      <w:rPr>
        <w:color w:val="3370ff"/>
      </w:rPr>
    </w:lvl>
  </w:abstractNum>
  <w:abstractNum w:abstractNumId="390403">
    <w:lvl>
      <w:numFmt w:val="bullet"/>
      <w:suff w:val="tab"/>
      <w:lvlText w:val="▪"/>
      <w:rPr>
        <w:color w:val="3370ff"/>
        <w:sz w:val="11"/>
      </w:rPr>
    </w:lvl>
  </w:abstractNum>
  <w:abstractNum w:abstractNumId="390404">
    <w:lvl>
      <w:numFmt w:val="bullet"/>
      <w:suff w:val="tab"/>
      <w:lvlText w:val="▪"/>
      <w:rPr>
        <w:color w:val="3370ff"/>
        <w:sz w:val="11"/>
      </w:rPr>
    </w:lvl>
  </w:abstractNum>
  <w:abstractNum w:abstractNumId="390405">
    <w:lvl>
      <w:numFmt w:val="bullet"/>
      <w:suff w:val="tab"/>
      <w:lvlText w:val="•"/>
      <w:rPr>
        <w:color w:val="3370ff"/>
      </w:rPr>
    </w:lvl>
  </w:abstractNum>
  <w:abstractNum w:abstractNumId="390406">
    <w:lvl>
      <w:numFmt w:val="bullet"/>
      <w:suff w:val="tab"/>
      <w:lvlText w:val="￮"/>
      <w:rPr>
        <w:color w:val="3370ff"/>
      </w:rPr>
    </w:lvl>
  </w:abstractNum>
  <w:abstractNum w:abstractNumId="390407">
    <w:lvl>
      <w:numFmt w:val="bullet"/>
      <w:suff w:val="tab"/>
      <w:lvlText w:val="￮"/>
      <w:rPr>
        <w:color w:val="3370ff"/>
      </w:rPr>
    </w:lvl>
  </w:abstractNum>
  <w:abstractNum w:abstractNumId="390408">
    <w:lvl>
      <w:numFmt w:val="bullet"/>
      <w:suff w:val="tab"/>
      <w:lvlText w:val="▪"/>
      <w:rPr>
        <w:color w:val="3370ff"/>
        <w:sz w:val="11"/>
      </w:rPr>
    </w:lvl>
  </w:abstractNum>
  <w:abstractNum w:abstractNumId="390409">
    <w:lvl>
      <w:numFmt w:val="bullet"/>
      <w:suff w:val="tab"/>
      <w:lvlText w:val="▪"/>
      <w:rPr>
        <w:color w:val="3370ff"/>
        <w:sz w:val="11"/>
      </w:rPr>
    </w:lvl>
  </w:abstractNum>
  <w:abstractNum w:abstractNumId="390410">
    <w:lvl>
      <w:numFmt w:val="bullet"/>
      <w:suff w:val="tab"/>
      <w:lvlText w:val="￮"/>
      <w:rPr>
        <w:color w:val="3370ff"/>
      </w:rPr>
    </w:lvl>
  </w:abstractNum>
  <w:abstractNum w:abstractNumId="390411">
    <w:lvl>
      <w:numFmt w:val="bullet"/>
      <w:suff w:val="tab"/>
      <w:lvlText w:val="•"/>
      <w:rPr>
        <w:color w:val="3370ff"/>
      </w:rPr>
    </w:lvl>
  </w:abstractNum>
  <w:abstractNum w:abstractNumId="390412">
    <w:lvl>
      <w:numFmt w:val="bullet"/>
      <w:suff w:val="tab"/>
      <w:lvlText w:val="￮"/>
      <w:rPr>
        <w:color w:val="3370ff"/>
      </w:rPr>
    </w:lvl>
  </w:abstractNum>
  <w:abstractNum w:abstractNumId="390413">
    <w:lvl>
      <w:numFmt w:val="bullet"/>
      <w:suff w:val="tab"/>
      <w:lvlText w:val="▪"/>
      <w:rPr>
        <w:color w:val="3370ff"/>
        <w:sz w:val="11"/>
      </w:rPr>
    </w:lvl>
  </w:abstractNum>
  <w:abstractNum w:abstractNumId="390414">
    <w:lvl>
      <w:numFmt w:val="bullet"/>
      <w:suff w:val="tab"/>
      <w:lvlText w:val="▪"/>
      <w:rPr>
        <w:color w:val="3370ff"/>
        <w:sz w:val="11"/>
      </w:rPr>
    </w:lvl>
  </w:abstractNum>
  <w:abstractNum w:abstractNumId="390415">
    <w:lvl>
      <w:numFmt w:val="bullet"/>
      <w:suff w:val="tab"/>
      <w:lvlText w:val="￮"/>
      <w:rPr>
        <w:color w:val="3370ff"/>
      </w:rPr>
    </w:lvl>
  </w:abstractNum>
  <w:abstractNum w:abstractNumId="390416">
    <w:lvl>
      <w:numFmt w:val="bullet"/>
      <w:suff w:val="tab"/>
      <w:lvlText w:val="•"/>
      <w:rPr>
        <w:color w:val="3370ff"/>
      </w:rPr>
    </w:lvl>
  </w:abstractNum>
  <w:abstractNum w:abstractNumId="390417">
    <w:lvl>
      <w:numFmt w:val="bullet"/>
      <w:suff w:val="tab"/>
      <w:lvlText w:val="•"/>
      <w:rPr>
        <w:color w:val="3370ff"/>
      </w:rPr>
    </w:lvl>
  </w:abstractNum>
  <w:abstractNum w:abstractNumId="390418">
    <w:lvl>
      <w:numFmt w:val="bullet"/>
      <w:suff w:val="tab"/>
      <w:lvlText w:val="•"/>
      <w:rPr>
        <w:color w:val="3370ff"/>
      </w:rPr>
    </w:lvl>
  </w:abstractNum>
  <w:abstractNum w:abstractNumId="390419">
    <w:lvl>
      <w:numFmt w:val="bullet"/>
      <w:suff w:val="tab"/>
      <w:lvlText w:val="•"/>
      <w:rPr>
        <w:color w:val="3370ff"/>
      </w:rPr>
    </w:lvl>
  </w:abstractNum>
  <w:abstractNum w:abstractNumId="390420">
    <w:lvl>
      <w:numFmt w:val="bullet"/>
      <w:suff w:val="tab"/>
      <w:lvlText w:val="•"/>
      <w:rPr>
        <w:color w:val="3370ff"/>
      </w:rPr>
    </w:lvl>
  </w:abstractNum>
  <w:abstractNum w:abstractNumId="390421">
    <w:lvl>
      <w:numFmt w:val="bullet"/>
      <w:suff w:val="tab"/>
      <w:lvlText w:val="•"/>
      <w:rPr>
        <w:color w:val="3370ff"/>
      </w:rPr>
    </w:lvl>
  </w:abstractNum>
  <w:abstractNum w:abstractNumId="390422">
    <w:lvl>
      <w:numFmt w:val="bullet"/>
      <w:suff w:val="tab"/>
      <w:lvlText w:val="￮"/>
      <w:rPr>
        <w:color w:val="3370ff"/>
      </w:rPr>
    </w:lvl>
  </w:abstractNum>
  <w:num w:numId="1">
    <w:abstractNumId w:val="390398"/>
  </w:num>
  <w:num w:numId="2">
    <w:abstractNumId w:val="390399"/>
  </w:num>
  <w:num w:numId="3">
    <w:abstractNumId w:val="390400"/>
  </w:num>
  <w:num w:numId="4">
    <w:abstractNumId w:val="390401"/>
  </w:num>
  <w:num w:numId="5">
    <w:abstractNumId w:val="390402"/>
  </w:num>
  <w:num w:numId="6">
    <w:abstractNumId w:val="390403"/>
  </w:num>
  <w:num w:numId="7">
    <w:abstractNumId w:val="390404"/>
  </w:num>
  <w:num w:numId="8">
    <w:abstractNumId w:val="390405"/>
  </w:num>
  <w:num w:numId="9">
    <w:abstractNumId w:val="390406"/>
  </w:num>
  <w:num w:numId="10">
    <w:abstractNumId w:val="390407"/>
  </w:num>
  <w:num w:numId="11">
    <w:abstractNumId w:val="390408"/>
  </w:num>
  <w:num w:numId="12">
    <w:abstractNumId w:val="390409"/>
  </w:num>
  <w:num w:numId="13">
    <w:abstractNumId w:val="390410"/>
  </w:num>
  <w:num w:numId="14">
    <w:abstractNumId w:val="390411"/>
  </w:num>
  <w:num w:numId="15">
    <w:abstractNumId w:val="390412"/>
  </w:num>
  <w:num w:numId="16">
    <w:abstractNumId w:val="390413"/>
  </w:num>
  <w:num w:numId="17">
    <w:abstractNumId w:val="390414"/>
  </w:num>
  <w:num w:numId="18">
    <w:abstractNumId w:val="390415"/>
  </w:num>
  <w:num w:numId="19">
    <w:abstractNumId w:val="390416"/>
  </w:num>
  <w:num w:numId="20">
    <w:abstractNumId w:val="390417"/>
  </w:num>
  <w:num w:numId="21">
    <w:abstractNumId w:val="390418"/>
  </w:num>
  <w:num w:numId="22">
    <w:abstractNumId w:val="390419"/>
  </w:num>
  <w:num w:numId="23">
    <w:abstractNumId w:val="390420"/>
  </w:num>
  <w:num w:numId="24">
    <w:abstractNumId w:val="390421"/>
  </w:num>
  <w:num w:numId="25">
    <w:abstractNumId w:val="39042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1qy5ayryao876dd8p7?t=675000" TargetMode="External" Type="http://schemas.openxmlformats.org/officeDocument/2006/relationships/hyperlink"/><Relationship Id="rId11" Target="https://hcnytq72r1ge.feishu.cn/minutes/obcnfo1qy5ayryao876dd8p7?from=ai_minutes" TargetMode="External" Type="http://schemas.openxmlformats.org/officeDocument/2006/relationships/hyperlink"/><Relationship Id="rId12" Target="https://hcnytq72r1ge.feishu.cn/docx/C4T9dqwltoJL5txFlb2ccd4rnHg" TargetMode="External" Type="http://schemas.openxmlformats.org/officeDocument/2006/relationships/hyperlink"/><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hcnytq72r1ge.feishu.cn/minutes/obcnfo1qy5ayryao876dd8p7?t=1000" TargetMode="External" Type="http://schemas.openxmlformats.org/officeDocument/2006/relationships/hyperlink"/><Relationship Id="rId8" Target="https://hcnytq72r1ge.feishu.cn/minutes/obcnfo1qy5ayryao876dd8p7?t=133000" TargetMode="External" Type="http://schemas.openxmlformats.org/officeDocument/2006/relationships/hyperlink"/><Relationship Id="rId9" Target="https://hcnytq72r1ge.feishu.cn/minutes/obcnfo1qy5ayryao876dd8p7?t=277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2026-01-26T09:28:01Z</dcterms:created>
  <dc:creator>Apache POI</dc:creator>
</cp:coreProperties>
</file>