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智能纪要：61、治本：找准动机，让动机变动力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会议主题：61、治本：找准动机，让动机变动力</w:t>
            </w:r>
          </w:p>
          <w:p>
            <w:pPr>
              <w:spacing w:before="120" w:after="120" w:line="288" w:lineRule="auto"/>
              <w:ind w:left="0"/>
              <w:jc w:val="left"/>
            </w:pPr>
            <w:r>
              <w:rPr>
                <w:rFonts w:eastAsia="等线" w:ascii="Arial" w:cs="Arial" w:hAnsi="Arial"/>
                <w:color w:val="646a73"/>
                <w:sz w:val="22"/>
              </w:rPr>
              <w:t>上传时间：1月22号（周四） 22:28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333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本次会议围绕儿童教育展开，说话人1分享了儿童不同阶段的教育方法、SEL 项目的重要性以及学习动力的转化方式等内容，具体内容如下：</w:t>
      </w:r>
    </w:p>
    <w:p>
      <w:pPr>
        <w:numPr>
          <w:numId w:val="1"/>
        </w:numPr>
        <w:spacing w:before="120" w:after="120" w:line="288" w:lineRule="auto"/>
        <w:ind w:left="0"/>
        <w:jc w:val="left"/>
      </w:pPr>
      <w:r>
        <w:rPr>
          <w:rFonts w:eastAsia="等线" w:ascii="Arial" w:cs="Arial" w:hAnsi="Arial"/>
          <w:b w:val="true"/>
          <w:sz w:val="22"/>
        </w:rPr>
        <w:t>儿童早期教育</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引导尝试</w:t>
            </w:r>
            <w:r>
              <w:rPr>
                <w:rFonts w:eastAsia="等线" w:ascii="Arial" w:cs="Arial" w:hAnsi="Arial"/>
                <w:sz w:val="22"/>
              </w:rPr>
              <w:t>：说话人1指出，孩子早期性格、兴趣爱好、价值观未定型，可塑性强，不应强逼孩子，而应带他们多尝试、引导，让其自然健康地往某一方向发展。</w:t>
            </w:r>
          </w:p>
          <w:p>
            <w:pPr>
              <w:numPr>
                <w:numId w:val="3"/>
              </w:numPr>
              <w:spacing w:before="120" w:after="120" w:line="288" w:lineRule="auto"/>
              <w:ind w:left="0"/>
              <w:jc w:val="left"/>
            </w:pPr>
            <w:r>
              <w:rPr>
                <w:rFonts w:eastAsia="等线" w:ascii="Arial" w:cs="Arial" w:hAnsi="Arial"/>
                <w:b w:val="true"/>
                <w:sz w:val="22"/>
              </w:rPr>
              <w:t>SEL 项目</w:t>
            </w:r>
            <w:r>
              <w:rPr>
                <w:rFonts w:eastAsia="等线" w:ascii="Arial" w:cs="Arial" w:hAnsi="Arial"/>
                <w:sz w:val="22"/>
              </w:rPr>
              <w:t>：推荐 SEL 项目，该项目即 social emotional learning，旨在培养人的综合能力、健全人格，是中国教育体系缺失的部分。不同阶段学生的培养重点不同，如小学低年级识别和表达自身情绪，高年级根据非语言线索识别他人感受等。</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190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943100" cy="11906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SEL项目不同教育阶段培养重点</w:t>
              <w:br/>
            </w:r>
          </w:p>
        </w:tc>
      </w:tr>
    </w:tbl>
    <w:p>
      <w:pPr>
        <w:numPr>
          <w:numId w:val="4"/>
        </w:numPr>
        <w:spacing w:before="120" w:after="120" w:line="288" w:lineRule="auto"/>
        <w:ind w:left="0"/>
        <w:jc w:val="left"/>
      </w:pPr>
      <w:r>
        <w:rPr>
          <w:rFonts w:eastAsia="等线" w:ascii="Arial" w:cs="Arial" w:hAnsi="Arial"/>
          <w:b w:val="true"/>
          <w:sz w:val="22"/>
        </w:rPr>
        <w:t>13 岁以上孩子教育</w:t>
      </w:r>
    </w:p>
    <w:p>
      <w:pPr>
        <w:numPr>
          <w:numId w:val="5"/>
        </w:numPr>
        <w:spacing w:before="120" w:after="120" w:line="288" w:lineRule="auto"/>
        <w:ind w:left="453"/>
        <w:jc w:val="left"/>
      </w:pPr>
      <w:r>
        <w:rPr>
          <w:rFonts w:eastAsia="等线" w:ascii="Arial" w:cs="Arial" w:hAnsi="Arial"/>
          <w:b w:val="true"/>
          <w:sz w:val="22"/>
        </w:rPr>
        <w:t>潜在学习动机发掘与转化</w:t>
      </w:r>
    </w:p>
    <w:p>
      <w:pPr>
        <w:numPr>
          <w:numId w:val="6"/>
        </w:numPr>
        <w:spacing w:before="120" w:after="120" w:line="288" w:lineRule="auto"/>
        <w:ind w:left="907"/>
        <w:jc w:val="left"/>
      </w:pPr>
      <w:r>
        <w:rPr>
          <w:rFonts w:eastAsia="等线" w:ascii="Arial" w:cs="Arial" w:hAnsi="Arial"/>
          <w:sz w:val="22"/>
        </w:rPr>
        <w:t>动机与动力区别：以想成为演员为例，说明动机和动力不等同，需将动机转化为动力。</w:t>
      </w:r>
    </w:p>
    <w:p>
      <w:pPr>
        <w:numPr>
          <w:numId w:val="7"/>
        </w:numPr>
        <w:spacing w:before="120" w:after="120" w:line="288" w:lineRule="auto"/>
        <w:ind w:left="907"/>
        <w:jc w:val="left"/>
      </w:pPr>
      <w:r>
        <w:rPr>
          <w:rFonts w:eastAsia="等线" w:ascii="Arial" w:cs="Arial" w:hAnsi="Arial"/>
          <w:sz w:val="22"/>
        </w:rPr>
        <w:t>PA 模型应用：借鉴商业谈判的 PA 模型，联立家长希望孩子成绩好和孩子想要满足自身动机的诉求，求解出孩子满足动机且成绩好就能得到相应回报的方案。</w:t>
      </w:r>
    </w:p>
    <w:p>
      <w:pPr>
        <w:numPr>
          <w:numId w:val="8"/>
        </w:numPr>
        <w:spacing w:before="120" w:after="120" w:line="288" w:lineRule="auto"/>
        <w:ind w:left="453"/>
        <w:jc w:val="left"/>
      </w:pPr>
      <w:r>
        <w:rPr>
          <w:rFonts w:eastAsia="等线" w:ascii="Arial" w:cs="Arial" w:hAnsi="Arial"/>
          <w:b w:val="true"/>
          <w:sz w:val="22"/>
        </w:rPr>
        <w:t>动力设计方式</w:t>
      </w:r>
    </w:p>
    <w:p>
      <w:pPr>
        <w:numPr>
          <w:numId w:val="9"/>
        </w:numPr>
        <w:spacing w:before="120" w:after="120" w:line="288" w:lineRule="auto"/>
        <w:ind w:left="907"/>
        <w:jc w:val="left"/>
      </w:pPr>
      <w:r>
        <w:rPr>
          <w:rFonts w:eastAsia="等线" w:ascii="Arial" w:cs="Arial" w:hAnsi="Arial"/>
          <w:sz w:val="22"/>
        </w:rPr>
        <w:t>极化效应：以电影《土拨鼠之日》为例，说明可通过极化效应激发动力，就像主角为让女同事对自己一见钟情，满足其所有喜好。</w:t>
      </w:r>
    </w:p>
    <w:p>
      <w:pPr>
        <w:numPr>
          <w:numId w:val="10"/>
        </w:numPr>
        <w:spacing w:before="120" w:after="120" w:line="288" w:lineRule="auto"/>
        <w:ind w:left="907"/>
        <w:jc w:val="left"/>
      </w:pPr>
      <w:r>
        <w:rPr>
          <w:rFonts w:eastAsia="等线" w:ascii="Arial" w:cs="Arial" w:hAnsi="Arial"/>
          <w:sz w:val="22"/>
        </w:rPr>
        <w:t>个性化动机设计：强调动机设计是个性化、非理性的过程，家长最适合寻找孩子的动机，因为他们长期与孩子相处，了解孩子喜好。若家长不知孩子喜好，需反思陪伴时间是否足够。</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00:01</w:t>
        </w:r>
      </w:hyperlink>
      <w:r>
        <w:rPr>
          <w:rFonts w:eastAsia="等线" w:ascii="Arial" w:cs="Arial" w:hAnsi="Arial"/>
          <w:b w:val="true"/>
          <w:sz w:val="22"/>
        </w:rPr>
        <w:t xml:space="preserve">  引导孩子学习：早期SEL培养与后期定位兴趣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本章节主要围绕引导孩子学习展开，提出要找到每个人的“鱼”并给予“按钮”。强调孩子早期性格、兴趣等未定型，可塑性强，不要强逼，应多带孩子尝试引导，此时适合联合国推广的 SEL 项目让孩子人格健全，等人格相对健全后再帮其定位“鱼”所在。</w:t>
            </w:r>
          </w:p>
        </w:tc>
      </w:tr>
    </w:tbl>
    <w:p>
      <w:pPr>
        <w:spacing w:before="120" w:after="120" w:line="288" w:lineRule="auto"/>
        <w:ind w:left="0"/>
        <w:jc w:val="left"/>
      </w:pPr>
      <w:hyperlink r:id="rId8">
        <w:r>
          <w:rPr>
            <w:rFonts w:eastAsia="等线" w:ascii="Arial" w:cs="Arial" w:hAnsi="Arial"/>
            <w:color w:val="3370ff"/>
            <w:sz w:val="22"/>
          </w:rPr>
          <w:t>01:07</w:t>
        </w:r>
      </w:hyperlink>
      <w:r>
        <w:rPr>
          <w:rFonts w:eastAsia="等线" w:ascii="Arial" w:cs="Arial" w:hAnsi="Arial"/>
          <w:b w:val="true"/>
          <w:sz w:val="22"/>
        </w:rPr>
        <w:t xml:space="preserve">  介绍SEL项目及中国教育体系缺失情况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本章节说话人1介绍了SEL项目，建议大家拍照了解或上网搜索。指出SEL是中国教育体系缺失的部分，其英文是social emotional learning，有人将其等同于情商教育并不准确，它旨在培养人的综合能力，目的是健全人格，属于真正的素质教育。</w:t>
            </w:r>
          </w:p>
        </w:tc>
      </w:tr>
    </w:tbl>
    <w:p>
      <w:pPr>
        <w:spacing w:before="120" w:after="120" w:line="288" w:lineRule="auto"/>
        <w:ind w:left="0"/>
        <w:jc w:val="left"/>
      </w:pPr>
      <w:hyperlink r:id="rId9">
        <w:r>
          <w:rPr>
            <w:rFonts w:eastAsia="等线" w:ascii="Arial" w:cs="Arial" w:hAnsi="Arial"/>
            <w:color w:val="3370ff"/>
            <w:sz w:val="22"/>
          </w:rPr>
          <w:t>01:40</w:t>
        </w:r>
      </w:hyperlink>
      <w:r>
        <w:rPr>
          <w:rFonts w:eastAsia="等线" w:ascii="Arial" w:cs="Arial" w:hAnsi="Arial"/>
          <w:b w:val="true"/>
          <w:sz w:val="22"/>
        </w:rPr>
        <w:t xml:space="preserve">  各阶段情商教育要点及低龄生涯规划看法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不同学龄段心理课程内容，小学低年级识别和表达自身情绪，高年级根据非语言线索识别他人感受，初中学习应对压力，高中涉及沟通等情商教育。还对比中美程序员沟通能力，反思国内教育在情商培养上的缺失。同时指出13岁前孩子未定型，应多探索玩耍，不宜做生涯规划。</w:t>
            </w:r>
          </w:p>
        </w:tc>
      </w:tr>
    </w:tbl>
    <w:p>
      <w:pPr>
        <w:spacing w:before="120" w:after="120" w:line="288" w:lineRule="auto"/>
        <w:ind w:left="0"/>
        <w:jc w:val="left"/>
      </w:pPr>
      <w:hyperlink r:id="rId10">
        <w:r>
          <w:rPr>
            <w:rFonts w:eastAsia="等线" w:ascii="Arial" w:cs="Arial" w:hAnsi="Arial"/>
            <w:color w:val="3370ff"/>
            <w:sz w:val="22"/>
          </w:rPr>
          <w:t>03:24</w:t>
        </w:r>
      </w:hyperlink>
      <w:r>
        <w:rPr>
          <w:rFonts w:eastAsia="等线" w:ascii="Arial" w:cs="Arial" w:hAnsi="Arial"/>
          <w:b w:val="true"/>
          <w:sz w:val="22"/>
        </w:rPr>
        <w:t xml:space="preserve">  13岁以上孩子学习动机发掘与动力转化方法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13岁以上孩子潜在学习动机发掘及转化为学习动力的方法。指出动机和动力不等同，可运用商业谈判中的PA模型与孩子达成协议。家长诉求是孩子成绩好，孩子诉求是动机满足，即把双方诉求联立求解，让孩子做到规划之事且成绩好，就能得到其想要的东西。</w:t>
            </w:r>
          </w:p>
        </w:tc>
      </w:tr>
    </w:tbl>
    <w:p>
      <w:pPr>
        <w:spacing w:before="120" w:after="120" w:line="288" w:lineRule="auto"/>
        <w:ind w:left="0"/>
        <w:jc w:val="left"/>
      </w:pPr>
      <w:hyperlink r:id="rId11">
        <w:r>
          <w:rPr>
            <w:rFonts w:eastAsia="等线" w:ascii="Arial" w:cs="Arial" w:hAnsi="Arial"/>
            <w:color w:val="3370ff"/>
            <w:sz w:val="22"/>
          </w:rPr>
          <w:t>04:39</w:t>
        </w:r>
      </w:hyperlink>
      <w:r>
        <w:rPr>
          <w:rFonts w:eastAsia="等线" w:ascii="Arial" w:cs="Arial" w:hAnsi="Arial"/>
          <w:b w:val="true"/>
          <w:sz w:val="22"/>
        </w:rPr>
        <w:t xml:space="preserve">  动力设计示例及孩子学习动机找寻建议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动力设计展开，提到通过极化效应激发动力，以电影《土拨鼠节》为例说明。强调学习动力激发难在每个人喜好不同，动机设计是个性化、非理性的，要先找到孩子的动机。指出寻找孩子动机最适合的人是家长，因家长与孩子相处久，若家长不知孩子喜好，需反思陪伴时间。</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11"/>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：根据孩子不同成长阶段进行教育引导，13岁前注重人格健全培养，13岁后发掘潜在学习动机并转化为学习动力。</w:t>
      </w:r>
    </w:p>
    <w:p>
      <w:pPr>
        <w:numPr>
          <w:numId w:val="12"/>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：如何有效引导孩子学习和成长。</w:t>
      </w:r>
    </w:p>
    <w:p>
      <w:pPr>
        <w:numPr>
          <w:numId w:val="13"/>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14"/>
        </w:numPr>
        <w:spacing w:before="120" w:after="120" w:line="288" w:lineRule="auto"/>
        <w:ind w:left="907"/>
        <w:jc w:val="left"/>
      </w:pPr>
      <w:r>
        <w:rPr>
          <w:rFonts w:eastAsia="等线" w:ascii="Arial" w:cs="Arial" w:hAnsi="Arial"/>
          <w:sz w:val="22"/>
        </w:rPr>
        <w:t>说话人1提出在孩子早期（13岁前），其性格、兴趣爱好、价值观未定型，可塑性强，适合开展联合国推广的SEL项目，培养综合能力以健全人格，此时不适合进行生涯规划，应让孩子多探索、玩耍，激发好奇心。</w:t>
      </w:r>
    </w:p>
    <w:p>
      <w:pPr>
        <w:numPr>
          <w:numId w:val="15"/>
        </w:numPr>
        <w:spacing w:before="120" w:after="120" w:line="288" w:lineRule="auto"/>
        <w:ind w:left="907"/>
        <w:jc w:val="left"/>
      </w:pPr>
      <w:r>
        <w:rPr>
          <w:rFonts w:eastAsia="等线" w:ascii="Arial" w:cs="Arial" w:hAnsi="Arial"/>
          <w:sz w:val="22"/>
        </w:rPr>
        <w:t>对于13岁以上的孩子，要发掘其潜在学习动机，通过PA模型将动机转化为学习动力，即联立家长希望孩子成绩好和孩子希望满足自身动机的诉求来达成协议；还提到动力设计可通过极化效应等方式，且动机设计是个性化、非理性的过程，需先找到孩子的动机，最适合做这件事的是家长。</w:t>
      </w:r>
    </w:p>
    <w:p>
      <w:pPr>
        <w:numPr>
          <w:numId w:val="16"/>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：基于孩子不同成长阶段的特点，早期人格塑造对后续发展至关重要，而后期需要针对性地激发学习动力以促进学习。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「在孩子早期，性格、兴趣爱好、价值观都未定型，塑造性很强，不要强逼孩子，应带他多去尝试、引导他，让他自然、健康地往某一方向发展，此时适合开展SEL项目健全其人格。」</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突出了孩子早期教育的关键要点，强调顺应孩子成长特点进行引导，以及SEL项目的重要性，对家长和教育者有重要的指导意义。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「13岁以前的孩子还没定型，这个时候多去探索、玩，激发他的好奇心，让他有更多的可能，这是最重要的阶段，此时不适合进行生涯规划。」</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明确指出了孩子特定成长阶段的教育重点，纠正了可能过早进行生涯规划的误区，引发对孩子成长节奏的思考。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「动机设计是一个非常个性化、非理性的事情，不是可以强迫的，要先找到孩子的动机，最适合做这件事的是家长，因为家长长期与孩子相处，更了解孩子的喜好。」</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深刻阐述了动机设计的特点和实施主体，强调了家长在孩子教育中的独特作用和重要责任。</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7"/>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61、治本：找准动机，让动机变动力</w:t>
        </w:r>
      </w:hyperlink>
    </w:p>
    <w:p>
      <w:pPr>
        <w:numPr>
          <w:numId w:val="18"/>
        </w:numPr>
        <w:spacing w:before="120" w:after="120" w:line="288" w:lineRule="auto"/>
        <w:ind w:left="0"/>
        <w:jc w:val="left"/>
      </w:pPr>
      <w:r>
        <w:rPr>
          <w:rFonts w:eastAsia="等线" w:ascii="Arial" w:cs="Arial" w:hAnsi="Arial"/>
          <w:sz w:val="22"/>
        </w:rPr>
        <w:t>文字记录</w:t>
      </w:r>
    </w:p>
    <w:p>
      <w:pPr>
        <w:numPr>
          <w:numId w:val="19"/>
        </w:numPr>
        <w:spacing w:before="120" w:after="120" w:line="288" w:lineRule="auto"/>
        <w:ind w:left="453"/>
        <w:jc w:val="left"/>
      </w:pPr>
      <w:hyperlink r:id="rId13">
        <w:r>
          <w:rPr>
            <w:rFonts w:eastAsia="等线" w:ascii="Arial" w:cs="Arial" w:hAnsi="Arial"/>
            <w:color w:val="3370ff"/>
            <w:sz w:val="22"/>
          </w:rPr>
          <w:t>61、治本：找准动机，让动机变动力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111">
    <w:lvl>
      <w:numFmt w:val="bullet"/>
      <w:suff w:val="tab"/>
      <w:lvlText w:val="•"/>
      <w:rPr>
        <w:color w:val="3370ff"/>
      </w:rPr>
    </w:lvl>
  </w:abstractNum>
  <w:abstractNum w:abstractNumId="13112">
    <w:lvl>
      <w:numFmt w:val="bullet"/>
      <w:suff w:val="tab"/>
      <w:lvlText w:val="•"/>
      <w:rPr>
        <w:color w:val="3370ff"/>
      </w:rPr>
    </w:lvl>
  </w:abstractNum>
  <w:abstractNum w:abstractNumId="13113">
    <w:lvl>
      <w:numFmt w:val="bullet"/>
      <w:suff w:val="tab"/>
      <w:lvlText w:val="•"/>
      <w:rPr>
        <w:color w:val="3370ff"/>
      </w:rPr>
    </w:lvl>
  </w:abstractNum>
  <w:abstractNum w:abstractNumId="13114">
    <w:lvl>
      <w:numFmt w:val="bullet"/>
      <w:suff w:val="tab"/>
      <w:lvlText w:val="•"/>
      <w:rPr>
        <w:color w:val="3370ff"/>
      </w:rPr>
    </w:lvl>
  </w:abstractNum>
  <w:abstractNum w:abstractNumId="13115">
    <w:lvl>
      <w:numFmt w:val="bullet"/>
      <w:suff w:val="tab"/>
      <w:lvlText w:val="￮"/>
      <w:rPr>
        <w:color w:val="3370ff"/>
      </w:rPr>
    </w:lvl>
  </w:abstractNum>
  <w:abstractNum w:abstractNumId="13116">
    <w:lvl>
      <w:numFmt w:val="bullet"/>
      <w:suff w:val="tab"/>
      <w:lvlText w:val="▪"/>
      <w:rPr>
        <w:color w:val="3370ff"/>
        <w:sz w:val="11"/>
      </w:rPr>
    </w:lvl>
  </w:abstractNum>
  <w:abstractNum w:abstractNumId="13117">
    <w:lvl>
      <w:numFmt w:val="bullet"/>
      <w:suff w:val="tab"/>
      <w:lvlText w:val="▪"/>
      <w:rPr>
        <w:color w:val="3370ff"/>
        <w:sz w:val="11"/>
      </w:rPr>
    </w:lvl>
  </w:abstractNum>
  <w:abstractNum w:abstractNumId="13118">
    <w:lvl>
      <w:numFmt w:val="bullet"/>
      <w:suff w:val="tab"/>
      <w:lvlText w:val="￮"/>
      <w:rPr>
        <w:color w:val="3370ff"/>
      </w:rPr>
    </w:lvl>
  </w:abstractNum>
  <w:abstractNum w:abstractNumId="13119">
    <w:lvl>
      <w:numFmt w:val="bullet"/>
      <w:suff w:val="tab"/>
      <w:lvlText w:val="▪"/>
      <w:rPr>
        <w:color w:val="3370ff"/>
        <w:sz w:val="11"/>
      </w:rPr>
    </w:lvl>
  </w:abstractNum>
  <w:abstractNum w:abstractNumId="13120">
    <w:lvl>
      <w:numFmt w:val="bullet"/>
      <w:suff w:val="tab"/>
      <w:lvlText w:val="▪"/>
      <w:rPr>
        <w:color w:val="3370ff"/>
        <w:sz w:val="11"/>
      </w:rPr>
    </w:lvl>
  </w:abstractNum>
  <w:abstractNum w:abstractNumId="13121">
    <w:lvl>
      <w:numFmt w:val="bullet"/>
      <w:suff w:val="tab"/>
      <w:lvlText w:val="•"/>
      <w:rPr>
        <w:color w:val="3370ff"/>
      </w:rPr>
    </w:lvl>
  </w:abstractNum>
  <w:abstractNum w:abstractNumId="13122">
    <w:lvl>
      <w:numFmt w:val="bullet"/>
      <w:suff w:val="tab"/>
      <w:lvlText w:val="￮"/>
      <w:rPr>
        <w:color w:val="3370ff"/>
      </w:rPr>
    </w:lvl>
  </w:abstractNum>
  <w:abstractNum w:abstractNumId="13123">
    <w:lvl>
      <w:numFmt w:val="bullet"/>
      <w:suff w:val="tab"/>
      <w:lvlText w:val="￮"/>
      <w:rPr>
        <w:color w:val="3370ff"/>
      </w:rPr>
    </w:lvl>
  </w:abstractNum>
  <w:abstractNum w:abstractNumId="13124">
    <w:lvl>
      <w:numFmt w:val="bullet"/>
      <w:suff w:val="tab"/>
      <w:lvlText w:val="▪"/>
      <w:rPr>
        <w:color w:val="3370ff"/>
        <w:sz w:val="11"/>
      </w:rPr>
    </w:lvl>
  </w:abstractNum>
  <w:abstractNum w:abstractNumId="13125">
    <w:lvl>
      <w:numFmt w:val="bullet"/>
      <w:suff w:val="tab"/>
      <w:lvlText w:val="▪"/>
      <w:rPr>
        <w:color w:val="3370ff"/>
        <w:sz w:val="11"/>
      </w:rPr>
    </w:lvl>
  </w:abstractNum>
  <w:abstractNum w:abstractNumId="13126">
    <w:lvl>
      <w:numFmt w:val="bullet"/>
      <w:suff w:val="tab"/>
      <w:lvlText w:val="￮"/>
      <w:rPr>
        <w:color w:val="3370ff"/>
      </w:rPr>
    </w:lvl>
  </w:abstractNum>
  <w:abstractNum w:abstractNumId="13127">
    <w:lvl>
      <w:numFmt w:val="bullet"/>
      <w:suff w:val="tab"/>
      <w:lvlText w:val="•"/>
      <w:rPr>
        <w:color w:val="3370ff"/>
      </w:rPr>
    </w:lvl>
  </w:abstractNum>
  <w:abstractNum w:abstractNumId="13128">
    <w:lvl>
      <w:numFmt w:val="bullet"/>
      <w:suff w:val="tab"/>
      <w:lvlText w:val="•"/>
      <w:rPr>
        <w:color w:val="3370ff"/>
      </w:rPr>
    </w:lvl>
  </w:abstractNum>
  <w:abstractNum w:abstractNumId="13129">
    <w:lvl>
      <w:numFmt w:val="bullet"/>
      <w:suff w:val="tab"/>
      <w:lvlText w:val="￮"/>
      <w:rPr>
        <w:color w:val="3370ff"/>
      </w:rPr>
    </w:lvl>
  </w:abstractNum>
  <w:num w:numId="1">
    <w:abstractNumId w:val="13111"/>
  </w:num>
  <w:num w:numId="2">
    <w:abstractNumId w:val="13112"/>
  </w:num>
  <w:num w:numId="3">
    <w:abstractNumId w:val="13113"/>
  </w:num>
  <w:num w:numId="4">
    <w:abstractNumId w:val="13114"/>
  </w:num>
  <w:num w:numId="5">
    <w:abstractNumId w:val="13115"/>
  </w:num>
  <w:num w:numId="6">
    <w:abstractNumId w:val="13116"/>
  </w:num>
  <w:num w:numId="7">
    <w:abstractNumId w:val="13117"/>
  </w:num>
  <w:num w:numId="8">
    <w:abstractNumId w:val="13118"/>
  </w:num>
  <w:num w:numId="9">
    <w:abstractNumId w:val="13119"/>
  </w:num>
  <w:num w:numId="10">
    <w:abstractNumId w:val="13120"/>
  </w:num>
  <w:num w:numId="11">
    <w:abstractNumId w:val="13121"/>
  </w:num>
  <w:num w:numId="12">
    <w:abstractNumId w:val="13122"/>
  </w:num>
  <w:num w:numId="13">
    <w:abstractNumId w:val="13123"/>
  </w:num>
  <w:num w:numId="14">
    <w:abstractNumId w:val="13124"/>
  </w:num>
  <w:num w:numId="15">
    <w:abstractNumId w:val="13125"/>
  </w:num>
  <w:num w:numId="16">
    <w:abstractNumId w:val="13126"/>
  </w:num>
  <w:num w:numId="17">
    <w:abstractNumId w:val="13127"/>
  </w:num>
  <w:num w:numId="18">
    <w:abstractNumId w:val="13128"/>
  </w:num>
  <w:num w:numId="19">
    <w:abstractNumId w:val="131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567p4fw7873h4ni615?t=204000" TargetMode="External" Type="http://schemas.openxmlformats.org/officeDocument/2006/relationships/hyperlink"/><Relationship Id="rId11" Target="https://hcnytq72r1ge.feishu.cn/minutes/obcnfo567p4fw7873h4ni615?t=279000" TargetMode="External" Type="http://schemas.openxmlformats.org/officeDocument/2006/relationships/hyperlink"/><Relationship Id="rId12" Target="https://hcnytq72r1ge.feishu.cn/minutes/obcnfo567p4fw7873h4ni615?from=ai_minutes" TargetMode="External" Type="http://schemas.openxmlformats.org/officeDocument/2006/relationships/hyperlink"/><Relationship Id="rId13" Target="https://hcnytq72r1ge.feishu.cn/docx/GCjvdQKDNolU0hx3Yw9c3YhAnqf"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567p4fw7873h4ni615?t=1000" TargetMode="External" Type="http://schemas.openxmlformats.org/officeDocument/2006/relationships/hyperlink"/><Relationship Id="rId8" Target="https://hcnytq72r1ge.feishu.cn/minutes/obcnfo567p4fw7873h4ni615?t=67000" TargetMode="External" Type="http://schemas.openxmlformats.org/officeDocument/2006/relationships/hyperlink"/><Relationship Id="rId9" Target="https://hcnytq72r1ge.feishu.cn/minutes/obcnfo567p4fw7873h4ni615?t=100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2026-01-26T09:31:58Z</dcterms:created>
  <dc:creator>Apache POI</dc:creator>
</cp:coreProperties>
</file>