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智能纪要：63、尖子、中游、后进生提分策略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会议主题：63、尖子、中游、后进生提分策略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本次会议围绕学生学习策略展开讨论，分享了不同成绩层次学生的学习特点、有效学习方法以及尖子生的独特学习策略，内容如下：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不同成绩学生的核心问题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低分学生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核心问题：说话人 1 认为低分学生的核心问题是学习动力和执行效率不足，而非知识点掌握不够。很多家长将低分学生送去补习班，重点放在知识点补习上，这是错误的做法，往往不会有效果。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不良教培现象：部分不良教培机构为敛财，将学生成绩未提升归咎于学生自身，而不是反思自身教学问题。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10572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不同成绩学生的核心问题与学习策略对比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中等生和优秀生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核心问题：中等生和优秀生学习动力一般不是严重问题，但方法效率是关键。例如采用番茄钟学习法，能在相同时间内取得更好的学习效果。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有效方法：错题集和应考方法对提升成绩效果显著。说话人 1 女儿通过使用错题集，数学成绩从普通水平提升至全班第一。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培养学生学习兴趣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发现天赋</w:t>
      </w:r>
      <w:r>
        <w:rPr>
          <w:rFonts w:eastAsia="等线" w:ascii="Arial" w:cs="Arial" w:hAnsi="Arial"/>
          <w:sz w:val="22"/>
        </w:rPr>
        <w:t>：说话人 1 很早就发现女儿 3 岁时拼图能力强，经研究发现这是空间能力天赋。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针对性培养</w:t>
      </w:r>
      <w:r>
        <w:rPr>
          <w:rFonts w:eastAsia="等线" w:ascii="Arial" w:cs="Arial" w:hAnsi="Arial"/>
          <w:sz w:val="22"/>
        </w:rPr>
        <w:t>：此后重点培养女儿的空间能力，如让她玩魔方、折纸等。还将学习与兴趣爱好关联，如用 NASA 科学家折纸设计卫星折叠面板的例子，引导女儿认识到学习的价值。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给予选择权</w:t>
      </w:r>
      <w:r>
        <w:rPr>
          <w:rFonts w:eastAsia="等线" w:ascii="Arial" w:cs="Arial" w:hAnsi="Arial"/>
          <w:sz w:val="22"/>
        </w:rPr>
        <w:t>：对于女儿喜欢弹钢琴的兴趣爱好，说话人 1 给予她选择权，但要求她一旦选择就要坚持。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62"/>
        <w:gridCol w:w="6872"/>
        <w:gridCol w:w="745"/>
      </w:tblGrid>
      <w:tr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10050" cy="12763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培养学生学习兴趣的关键步骤</w:t>
              <w:br/>
            </w:r>
          </w:p>
        </w:tc>
        <w:tc>
          <w:tcPr>
            <w:tcW w:w="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尖子生的学习策略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错题集</w:t>
      </w:r>
      <w:r>
        <w:rPr>
          <w:rFonts w:eastAsia="等线" w:ascii="Arial" w:cs="Arial" w:hAnsi="Arial"/>
          <w:sz w:val="22"/>
        </w:rPr>
        <w:t>：对于高分学生，学习普通知识点是浪费时间，老师会允许他们将时间花在弥补之前错题的知识点上。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提前学大学知识</w:t>
      </w:r>
      <w:r>
        <w:rPr>
          <w:rFonts w:eastAsia="等线" w:ascii="Arial" w:cs="Arial" w:hAnsi="Arial"/>
          <w:sz w:val="22"/>
        </w:rPr>
        <w:t>：尖子生会采用降维打击的方式，提前学习大学知识点，再做高中题会觉得很容易。例如说话人 1 所在高中将全年级前 30 名学生集中学习大学知识。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放弃常规</w:t>
      </w:r>
      <w:r>
        <w:rPr>
          <w:rFonts w:eastAsia="等线" w:ascii="Arial" w:cs="Arial" w:hAnsi="Arial"/>
          <w:sz w:val="22"/>
        </w:rPr>
        <w:t>：学校会允许特别拔尖的学生不按照老师的要求学习，让他们按照自己的方式学习，以冲击清华北大等名校。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提升学生学习需注重策略且成绩不同策略有别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本章节强调学习策略的重要性，说话人1指出前面提及过“策略”一词，要提升学生需注重策略。不同学习成绩的人，其学习策略存在很大差别。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00:15</w:t>
        </w:r>
      </w:hyperlink>
      <w:r>
        <w:rPr>
          <w:rFonts w:eastAsia="等线" w:ascii="Arial" w:cs="Arial" w:hAnsi="Arial"/>
          <w:b w:val="true"/>
          <w:sz w:val="22"/>
        </w:rPr>
        <w:t xml:space="preserve">  低分学生补习效果差，责任在不良教培机构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低分学生核心问题是学习动力和执行效率不足，将其送去补习班往往没效果。说话人结合自身经历，批判不良教培机构，称它们为敛财推卸责任，让家长误以为是孩子问题。强调孩子成绩经补习未提升，原因就是老师不够优秀，如同神医能治好疑难病症一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01:52</w:t>
        </w:r>
      </w:hyperlink>
      <w:r>
        <w:rPr>
          <w:rFonts w:eastAsia="等线" w:ascii="Arial" w:cs="Arial" w:hAnsi="Arial"/>
          <w:b w:val="true"/>
          <w:sz w:val="22"/>
        </w:rPr>
        <w:t xml:space="preserve">  培养孩子学习习惯、兴趣与天赋的经验分享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中等生和优秀生的学习展开。指出中等生和优秀生学习动力一般不是严重问题，方法效率才是关键，如番茄钟、错题集、应考方法等。说话人分享女儿用错题集提升数学成绩的案例，还提到从小培养孩子空间能力等天赋，将兴趣爱好与学习关联，把选择权交给孩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05:43</w:t>
        </w:r>
      </w:hyperlink>
      <w:r>
        <w:rPr>
          <w:rFonts w:eastAsia="等线" w:ascii="Arial" w:cs="Arial" w:hAnsi="Arial"/>
          <w:b w:val="true"/>
          <w:sz w:val="22"/>
        </w:rPr>
        <w:t xml:space="preserve">  探讨尖子生学习策略，强调错题集重要性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不认为小学六年级女儿是成功案例，转而谈尖子生。他虽考上985，但与清华北大学生有差距，测过其智商大多不低于120。因太太毕业于北大，且公司有北大清华学生，了解到他们有不同学习策略，其中错题集必备，老师会让高分学生把时间花在弥补之前出错的知识点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07:13</w:t>
        </w:r>
      </w:hyperlink>
      <w:r>
        <w:rPr>
          <w:rFonts w:eastAsia="等线" w:ascii="Arial" w:cs="Arial" w:hAnsi="Arial"/>
          <w:b w:val="true"/>
          <w:sz w:val="22"/>
        </w:rPr>
        <w:t xml:space="preserve">  高中尖子生降维打击式学习策略差异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了降维打击的开启方式及学习策略。学校会让全年级前30名的学生集中学习大学知识点，用大学知识做高中题会更轻松。同时允许这些拔尖学生放弃常规，不按老师要求学习，学校为他们开小灶，让他们按自己方式学习，只要能出好结果，其学习策略与一般人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：针对不同学习成绩的学生应采用不同的学习策略。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：如何有效提升不同成绩学生的学习效果。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说话人1认为低分学生核心问题是学习动力和执行效率，将其送去补习班补习知识点不会有效果，应重点提升学习动力和执行效率。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中等生和优秀生学习动力一般不是严重问题，可注重学习方法和效率，如采用番茄钟、错题集等方法。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尖子生有不同一般的学习策略，必备错题集精准弥补知识点，提前学习大学知识点开启降维打击，并且允许不按老师要求，按自己方式学习。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：结合自身经历、女儿的学习案例以及对尖子生（清华北大学生）学习方法的了解得出。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「把一个成绩很差的孩子送去补习班不会有效果，因为低分学生核心问题是学习动力和执行效率，而非知识点。」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指出了低分学生成绩差的核心问题，纠正了将低分学生送去补习班的常见错误做法，引发对提升低分学生成绩方式的思考。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「错题集方法效果惊人，说话人女儿用错题集一个礼拜，数学从普通水平成为全班第一。」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通过具体案例展示了错题集方法对提升学习成绩的显著效果，为提升学习成绩提供了有效方法。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「学了大学知识再做高中题，太小儿科了，尖子生可提前学习大学知识点开启降维打击。」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提出了尖子生独特的学习策略，为培养尖子生提供了新的思路和方向。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63、尖子、中游、后进生提分策略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63、尖子、中游、后进生提分策略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910">
    <w:lvl>
      <w:numFmt w:val="bullet"/>
      <w:suff w:val="tab"/>
      <w:lvlText w:val="•"/>
      <w:rPr>
        <w:color w:val="3370ff"/>
      </w:rPr>
    </w:lvl>
  </w:abstractNum>
  <w:abstractNum w:abstractNumId="16911">
    <w:lvl>
      <w:numFmt w:val="bullet"/>
      <w:suff w:val="tab"/>
      <w:lvlText w:val="•"/>
      <w:rPr>
        <w:color w:val="3370ff"/>
      </w:rPr>
    </w:lvl>
  </w:abstractNum>
  <w:abstractNum w:abstractNumId="16912">
    <w:lvl>
      <w:numFmt w:val="bullet"/>
      <w:suff w:val="tab"/>
      <w:lvlText w:val="￮"/>
      <w:rPr>
        <w:color w:val="3370ff"/>
      </w:rPr>
    </w:lvl>
  </w:abstractNum>
  <w:abstractNum w:abstractNumId="16913">
    <w:lvl>
      <w:numFmt w:val="bullet"/>
      <w:suff w:val="tab"/>
      <w:lvlText w:val="￮"/>
      <w:rPr>
        <w:color w:val="3370ff"/>
      </w:rPr>
    </w:lvl>
  </w:abstractNum>
  <w:abstractNum w:abstractNumId="16914">
    <w:lvl>
      <w:numFmt w:val="bullet"/>
      <w:suff w:val="tab"/>
      <w:lvlText w:val="￮"/>
      <w:rPr>
        <w:color w:val="3370ff"/>
      </w:rPr>
    </w:lvl>
  </w:abstractNum>
  <w:abstractNum w:abstractNumId="16915">
    <w:lvl>
      <w:numFmt w:val="bullet"/>
      <w:suff w:val="tab"/>
      <w:lvlText w:val="▪"/>
      <w:rPr>
        <w:color w:val="3370ff"/>
        <w:sz w:val="11"/>
      </w:rPr>
    </w:lvl>
  </w:abstractNum>
  <w:abstractNum w:abstractNumId="16916">
    <w:lvl>
      <w:numFmt w:val="bullet"/>
      <w:suff w:val="tab"/>
      <w:lvlText w:val="▪"/>
      <w:rPr>
        <w:color w:val="3370ff"/>
        <w:sz w:val="11"/>
      </w:rPr>
    </w:lvl>
  </w:abstractNum>
  <w:abstractNum w:abstractNumId="16917">
    <w:lvl>
      <w:numFmt w:val="bullet"/>
      <w:suff w:val="tab"/>
      <w:lvlText w:val="•"/>
      <w:rPr>
        <w:color w:val="3370ff"/>
      </w:rPr>
    </w:lvl>
  </w:abstractNum>
  <w:abstractNum w:abstractNumId="16918">
    <w:lvl>
      <w:numFmt w:val="bullet"/>
      <w:suff w:val="tab"/>
      <w:lvlText w:val="￮"/>
      <w:rPr>
        <w:color w:val="3370ff"/>
      </w:rPr>
    </w:lvl>
  </w:abstractNum>
  <w:abstractNum w:abstractNumId="16919">
    <w:lvl>
      <w:numFmt w:val="bullet"/>
      <w:suff w:val="tab"/>
      <w:lvlText w:val="￮"/>
      <w:rPr>
        <w:color w:val="3370ff"/>
      </w:rPr>
    </w:lvl>
  </w:abstractNum>
  <w:abstractNum w:abstractNumId="16920">
    <w:lvl>
      <w:numFmt w:val="bullet"/>
      <w:suff w:val="tab"/>
      <w:lvlText w:val="￮"/>
      <w:rPr>
        <w:color w:val="3370ff"/>
      </w:rPr>
    </w:lvl>
  </w:abstractNum>
  <w:abstractNum w:abstractNumId="16921">
    <w:lvl>
      <w:numFmt w:val="bullet"/>
      <w:suff w:val="tab"/>
      <w:lvlText w:val="•"/>
      <w:rPr>
        <w:color w:val="3370ff"/>
      </w:rPr>
    </w:lvl>
  </w:abstractNum>
  <w:abstractNum w:abstractNumId="16922">
    <w:lvl>
      <w:numFmt w:val="bullet"/>
      <w:suff w:val="tab"/>
      <w:lvlText w:val="￮"/>
      <w:rPr>
        <w:color w:val="3370ff"/>
      </w:rPr>
    </w:lvl>
  </w:abstractNum>
  <w:abstractNum w:abstractNumId="16923">
    <w:lvl>
      <w:numFmt w:val="bullet"/>
      <w:suff w:val="tab"/>
      <w:lvlText w:val="￮"/>
      <w:rPr>
        <w:color w:val="3370ff"/>
      </w:rPr>
    </w:lvl>
  </w:abstractNum>
  <w:abstractNum w:abstractNumId="16924">
    <w:lvl>
      <w:numFmt w:val="bullet"/>
      <w:suff w:val="tab"/>
      <w:lvlText w:val="￮"/>
      <w:rPr>
        <w:color w:val="3370ff"/>
      </w:rPr>
    </w:lvl>
  </w:abstractNum>
  <w:abstractNum w:abstractNumId="16925">
    <w:lvl>
      <w:numFmt w:val="bullet"/>
      <w:suff w:val="tab"/>
      <w:lvlText w:val="•"/>
      <w:rPr>
        <w:color w:val="3370ff"/>
      </w:rPr>
    </w:lvl>
  </w:abstractNum>
  <w:abstractNum w:abstractNumId="16926">
    <w:lvl>
      <w:numFmt w:val="bullet"/>
      <w:suff w:val="tab"/>
      <w:lvlText w:val="￮"/>
      <w:rPr>
        <w:color w:val="3370ff"/>
      </w:rPr>
    </w:lvl>
  </w:abstractNum>
  <w:abstractNum w:abstractNumId="16927">
    <w:lvl>
      <w:numFmt w:val="bullet"/>
      <w:suff w:val="tab"/>
      <w:lvlText w:val="￮"/>
      <w:rPr>
        <w:color w:val="3370ff"/>
      </w:rPr>
    </w:lvl>
  </w:abstractNum>
  <w:abstractNum w:abstractNumId="16928">
    <w:lvl>
      <w:numFmt w:val="bullet"/>
      <w:suff w:val="tab"/>
      <w:lvlText w:val="▪"/>
      <w:rPr>
        <w:color w:val="3370ff"/>
        <w:sz w:val="11"/>
      </w:rPr>
    </w:lvl>
  </w:abstractNum>
  <w:abstractNum w:abstractNumId="16929">
    <w:lvl>
      <w:numFmt w:val="bullet"/>
      <w:suff w:val="tab"/>
      <w:lvlText w:val="▪"/>
      <w:rPr>
        <w:color w:val="3370ff"/>
        <w:sz w:val="11"/>
      </w:rPr>
    </w:lvl>
  </w:abstractNum>
  <w:abstractNum w:abstractNumId="16930">
    <w:lvl>
      <w:numFmt w:val="bullet"/>
      <w:suff w:val="tab"/>
      <w:lvlText w:val="▪"/>
      <w:rPr>
        <w:color w:val="3370ff"/>
        <w:sz w:val="11"/>
      </w:rPr>
    </w:lvl>
  </w:abstractNum>
  <w:abstractNum w:abstractNumId="16931">
    <w:lvl>
      <w:numFmt w:val="bullet"/>
      <w:suff w:val="tab"/>
      <w:lvlText w:val="￮"/>
      <w:rPr>
        <w:color w:val="3370ff"/>
      </w:rPr>
    </w:lvl>
  </w:abstractNum>
  <w:abstractNum w:abstractNumId="16932">
    <w:lvl>
      <w:numFmt w:val="bullet"/>
      <w:suff w:val="tab"/>
      <w:lvlText w:val="•"/>
      <w:rPr>
        <w:color w:val="3370ff"/>
      </w:rPr>
    </w:lvl>
  </w:abstractNum>
  <w:abstractNum w:abstractNumId="16933">
    <w:lvl>
      <w:numFmt w:val="bullet"/>
      <w:suff w:val="tab"/>
      <w:lvlText w:val="•"/>
      <w:rPr>
        <w:color w:val="3370ff"/>
      </w:rPr>
    </w:lvl>
  </w:abstractNum>
  <w:abstractNum w:abstractNumId="16934">
    <w:lvl>
      <w:numFmt w:val="bullet"/>
      <w:suff w:val="tab"/>
      <w:lvlText w:val="•"/>
      <w:rPr>
        <w:color w:val="3370ff"/>
      </w:rPr>
    </w:lvl>
  </w:abstractNum>
  <w:abstractNum w:abstractNumId="16935">
    <w:lvl>
      <w:numFmt w:val="bullet"/>
      <w:suff w:val="tab"/>
      <w:lvlText w:val="￮"/>
      <w:rPr>
        <w:color w:val="3370ff"/>
      </w:rPr>
    </w:lvl>
  </w:abstractNum>
  <w:num w:numId="1">
    <w:abstractNumId w:val="16910"/>
  </w:num>
  <w:num w:numId="2">
    <w:abstractNumId w:val="16911"/>
  </w:num>
  <w:num w:numId="3">
    <w:abstractNumId w:val="16912"/>
  </w:num>
  <w:num w:numId="4">
    <w:abstractNumId w:val="16913"/>
  </w:num>
  <w:num w:numId="5">
    <w:abstractNumId w:val="16914"/>
  </w:num>
  <w:num w:numId="6">
    <w:abstractNumId w:val="16915"/>
  </w:num>
  <w:num w:numId="7">
    <w:abstractNumId w:val="16916"/>
  </w:num>
  <w:num w:numId="8">
    <w:abstractNumId w:val="16917"/>
  </w:num>
  <w:num w:numId="9">
    <w:abstractNumId w:val="16918"/>
  </w:num>
  <w:num w:numId="10">
    <w:abstractNumId w:val="16919"/>
  </w:num>
  <w:num w:numId="11">
    <w:abstractNumId w:val="16920"/>
  </w:num>
  <w:num w:numId="12">
    <w:abstractNumId w:val="16921"/>
  </w:num>
  <w:num w:numId="13">
    <w:abstractNumId w:val="16922"/>
  </w:num>
  <w:num w:numId="14">
    <w:abstractNumId w:val="16923"/>
  </w:num>
  <w:num w:numId="15">
    <w:abstractNumId w:val="16924"/>
  </w:num>
  <w:num w:numId="16">
    <w:abstractNumId w:val="16925"/>
  </w:num>
  <w:num w:numId="17">
    <w:abstractNumId w:val="16926"/>
  </w:num>
  <w:num w:numId="18">
    <w:abstractNumId w:val="16927"/>
  </w:num>
  <w:num w:numId="19">
    <w:abstractNumId w:val="16928"/>
  </w:num>
  <w:num w:numId="20">
    <w:abstractNumId w:val="16929"/>
  </w:num>
  <w:num w:numId="21">
    <w:abstractNumId w:val="16930"/>
  </w:num>
  <w:num w:numId="22">
    <w:abstractNumId w:val="16931"/>
  </w:num>
  <w:num w:numId="23">
    <w:abstractNumId w:val="16932"/>
  </w:num>
  <w:num w:numId="24">
    <w:abstractNumId w:val="16933"/>
  </w:num>
  <w:num w:numId="25">
    <w:abstractNumId w:val="16934"/>
  </w:num>
  <w:num w:numId="26">
    <w:abstractNumId w:val="169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y159f199qs7b2hd951?t=112000" TargetMode="External" Type="http://schemas.openxmlformats.org/officeDocument/2006/relationships/hyperlink"/><Relationship Id="rId11" Target="https://hcnytq72r1ge.feishu.cn/minutes/obcnfoy159f199qs7b2hd951?t=343000" TargetMode="External" Type="http://schemas.openxmlformats.org/officeDocument/2006/relationships/hyperlink"/><Relationship Id="rId12" Target="https://hcnytq72r1ge.feishu.cn/minutes/obcnfoy159f199qs7b2hd951?t=433000" TargetMode="External" Type="http://schemas.openxmlformats.org/officeDocument/2006/relationships/hyperlink"/><Relationship Id="rId13" Target="https://hcnytq72r1ge.feishu.cn/minutes/obcnfoy159f199qs7b2hd951?from=ai_minutes" TargetMode="External" Type="http://schemas.openxmlformats.org/officeDocument/2006/relationships/hyperlink"/><Relationship Id="rId14" Target="https://hcnytq72r1ge.feishu.cn/docx/F6JmdYDqaoC1GgxSpM8cw1Nxnpc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y159f199qs7b2hd951?t=1000" TargetMode="External" Type="http://schemas.openxmlformats.org/officeDocument/2006/relationships/hyperlink"/><Relationship Id="rId9" Target="https://hcnytq72r1ge.feishu.cn/minutes/obcnfoy159f199qs7b2hd951?t=1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2026-01-26T09:34:07Z</dcterms:created>
  <dc:creator>Apache POI</dc:creator>
</cp:coreProperties>
</file>