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智能纪要：8、我的使命：打造人生导航仪 2026年1月22日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会议主题：8、我的使命：打造人生导航仪</w:t>
            </w:r>
          </w:p>
          <w:p>
            <w:pPr>
              <w:spacing w:before="120" w:after="120" w:line="288" w:lineRule="auto"/>
              <w:ind w:left="0"/>
              <w:jc w:val="left"/>
            </w:pPr>
            <w:r>
              <w:rPr>
                <w:rFonts w:eastAsia="等线" w:ascii="Arial" w:cs="Arial" w:hAnsi="Arial"/>
                <w:color w:val="646a73"/>
                <w:sz w:val="22"/>
              </w:rPr>
              <w:t>上传时间：1月22号（周四） 22:07 （GMT+08）</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智能纪要由 AI 生成，可能不准确，请谨慎甄别后使用</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总结</w:t>
      </w:r>
      <w:bookmarkEnd w:id="0"/>
    </w:p>
    <w:p>
      <w:pPr>
        <w:spacing w:before="120" w:after="120" w:line="288" w:lineRule="auto"/>
        <w:ind w:left="0"/>
        <w:jc w:val="center"/>
      </w:pPr>
      <w:r>
        <w:drawing>
          <wp:inline distT="0" distR="0" distB="0" distL="0">
            <wp:extent cx="5257800" cy="32004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2004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本次会议中，说话人1分享了自己16年探索人生成长密码的经历，介绍了人生地图的构建及应用，阐述了成长密码课程的核心内容和学员将获得的收获，内容如下：</w:t>
      </w:r>
    </w:p>
    <w:p>
      <w:pPr>
        <w:numPr>
          <w:numId w:val="1"/>
        </w:numPr>
        <w:spacing w:before="120" w:after="120" w:line="288" w:lineRule="auto"/>
        <w:ind w:left="0"/>
        <w:jc w:val="left"/>
      </w:pPr>
      <w:r>
        <w:rPr>
          <w:rFonts w:eastAsia="等线" w:ascii="Arial" w:cs="Arial" w:hAnsi="Arial"/>
          <w:b w:val="true"/>
          <w:sz w:val="22"/>
        </w:rPr>
        <w:t>成长密码探索的初衷</w:t>
      </w:r>
    </w:p>
    <w:p>
      <w:pPr>
        <w:numPr>
          <w:numId w:val="2"/>
        </w:numPr>
        <w:spacing w:before="120" w:after="120" w:line="288" w:lineRule="auto"/>
        <w:ind w:left="453"/>
        <w:jc w:val="left"/>
      </w:pPr>
      <w:r>
        <w:rPr>
          <w:rFonts w:eastAsia="等线" w:ascii="Arial" w:cs="Arial" w:hAnsi="Arial"/>
          <w:b w:val="true"/>
          <w:sz w:val="22"/>
        </w:rPr>
        <w:t>破解成长困惑</w:t>
      </w:r>
    </w:p>
    <w:p>
      <w:pPr>
        <w:numPr>
          <w:numId w:val="3"/>
        </w:numPr>
        <w:spacing w:before="120" w:after="120" w:line="288" w:lineRule="auto"/>
        <w:ind w:left="907"/>
        <w:jc w:val="left"/>
      </w:pPr>
      <w:r>
        <w:rPr>
          <w:rFonts w:eastAsia="等线" w:ascii="Arial" w:cs="Arial" w:hAnsi="Arial"/>
          <w:sz w:val="22"/>
        </w:rPr>
        <w:t>使命驱动：说话人1表示人生如游戏，希望破解每个人成长的密码，让自己和他人在人生这场游戏中少走弯路，这是其个人使命。他以自己高中为打游戏逃课为例，说明对探索的热情。</w:t>
      </w:r>
    </w:p>
    <w:p>
      <w:pPr>
        <w:numPr>
          <w:numId w:val="4"/>
        </w:numPr>
        <w:spacing w:before="120" w:after="120" w:line="288" w:lineRule="auto"/>
        <w:ind w:left="907"/>
        <w:jc w:val="left"/>
      </w:pPr>
      <w:r>
        <w:rPr>
          <w:rFonts w:eastAsia="等线" w:ascii="Arial" w:cs="Arial" w:hAnsi="Arial"/>
          <w:sz w:val="22"/>
        </w:rPr>
        <w:t>类比游戏攻略：将人生比作游戏，认为游戏和人生有很多相通之处，如都需明确“你是谁、要做什么、该怎么办”。在游戏中有攻略，在现实社会中，每个人也应拥有属于自己的成长攻略。</w:t>
      </w:r>
    </w:p>
    <w:p>
      <w:pPr>
        <w:numPr>
          <w:numId w:val="5"/>
        </w:numPr>
        <w:spacing w:before="120" w:after="120" w:line="288" w:lineRule="auto"/>
        <w:ind w:left="453"/>
        <w:jc w:val="left"/>
      </w:pPr>
      <w:r>
        <w:rPr>
          <w:rFonts w:eastAsia="等线" w:ascii="Arial" w:cs="Arial" w:hAnsi="Arial"/>
          <w:b w:val="true"/>
          <w:sz w:val="22"/>
        </w:rPr>
        <w:t>解决信息问题</w:t>
      </w:r>
    </w:p>
    <w:p>
      <w:pPr>
        <w:numPr>
          <w:numId w:val="6"/>
        </w:numPr>
        <w:spacing w:before="120" w:after="120" w:line="288" w:lineRule="auto"/>
        <w:ind w:left="907"/>
        <w:jc w:val="left"/>
      </w:pPr>
      <w:r>
        <w:rPr>
          <w:rFonts w:eastAsia="等线" w:ascii="Arial" w:cs="Arial" w:hAnsi="Arial"/>
          <w:sz w:val="22"/>
        </w:rPr>
        <w:t>信息缺失与不对称：提出信息差分为信息缺失和信息不对称。信息缺失如个人天分，可能所有人都不知道；信息不对称如广东高考录取率情况，部分人知道而其他人不清楚。</w:t>
      </w:r>
    </w:p>
    <w:p>
      <w:pPr>
        <w:numPr>
          <w:numId w:val="7"/>
        </w:numPr>
        <w:spacing w:before="120" w:after="120" w:line="288" w:lineRule="auto"/>
        <w:ind w:left="907"/>
        <w:jc w:val="left"/>
      </w:pPr>
      <w:r>
        <w:rPr>
          <w:rFonts w:eastAsia="等线" w:ascii="Arial" w:cs="Arial" w:hAnsi="Arial"/>
          <w:sz w:val="22"/>
        </w:rPr>
        <w:t>追求教育公平：说话人1希望通过信息技术手段解决信息偏差、缺失和不对称问题，让每个人能公平做决策，实现真正的教育公平。</w:t>
      </w:r>
    </w:p>
    <w:p>
      <w:pPr>
        <w:numPr>
          <w:numId w:val="8"/>
        </w:numPr>
        <w:spacing w:before="120" w:after="120" w:line="288" w:lineRule="auto"/>
        <w:ind w:left="0"/>
        <w:jc w:val="left"/>
      </w:pPr>
      <w:r>
        <w:rPr>
          <w:rFonts w:eastAsia="等线" w:ascii="Arial" w:cs="Arial" w:hAnsi="Arial"/>
          <w:b w:val="true"/>
          <w:sz w:val="22"/>
        </w:rPr>
        <w:t>16年研究历程与人生地图构建</w:t>
      </w:r>
    </w:p>
    <w:p>
      <w:pPr>
        <w:numPr>
          <w:numId w:val="9"/>
        </w:numPr>
        <w:spacing w:before="120" w:after="120" w:line="288" w:lineRule="auto"/>
        <w:ind w:left="453"/>
        <w:jc w:val="left"/>
      </w:pPr>
      <w:r>
        <w:rPr>
          <w:rFonts w:eastAsia="等线" w:ascii="Arial" w:cs="Arial" w:hAnsi="Arial"/>
          <w:b w:val="true"/>
          <w:sz w:val="22"/>
        </w:rPr>
        <w:t>研究方向转变</w:t>
      </w:r>
    </w:p>
    <w:p>
      <w:pPr>
        <w:numPr>
          <w:numId w:val="10"/>
        </w:numPr>
        <w:spacing w:before="120" w:after="120" w:line="288" w:lineRule="auto"/>
        <w:ind w:left="907"/>
        <w:jc w:val="left"/>
      </w:pPr>
      <w:r>
        <w:rPr>
          <w:rFonts w:eastAsia="等线" w:ascii="Arial" w:cs="Arial" w:hAnsi="Arial"/>
          <w:sz w:val="22"/>
        </w:rPr>
        <w:t>旅游路径规划：在美国读博时，最初研究旅游路径规划，进入美国国家旅游与电子商务实验室，师从旅游搜索领域开创者 Daniel Feishma。但发现旅游路径有丰富信息，而人生路径缺乏人生地图。</w:t>
      </w:r>
    </w:p>
    <w:p>
      <w:pPr>
        <w:numPr>
          <w:numId w:val="11"/>
        </w:numPr>
        <w:spacing w:before="120" w:after="120" w:line="288" w:lineRule="auto"/>
        <w:ind w:left="907"/>
        <w:jc w:val="left"/>
      </w:pPr>
      <w:r>
        <w:rPr>
          <w:rFonts w:eastAsia="等线" w:ascii="Arial" w:cs="Arial" w:hAnsi="Arial"/>
          <w:sz w:val="22"/>
        </w:rPr>
        <w:t>构建人生地图：为解决人生地图缺失问题，博士研究方向转向 collective intelligence，用碎片化信息构建整体化信息地图。</w:t>
      </w:r>
    </w:p>
    <w:p>
      <w:pPr>
        <w:numPr>
          <w:numId w:val="12"/>
        </w:numPr>
        <w:spacing w:before="120" w:after="120" w:line="288" w:lineRule="auto"/>
        <w:ind w:left="453"/>
        <w:jc w:val="left"/>
      </w:pPr>
      <w:r>
        <w:rPr>
          <w:rFonts w:eastAsia="等线" w:ascii="Arial" w:cs="Arial" w:hAnsi="Arial"/>
          <w:b w:val="true"/>
          <w:sz w:val="22"/>
        </w:rPr>
        <w:t>人生地图呈现与应用</w:t>
      </w:r>
    </w:p>
    <w:p>
      <w:pPr>
        <w:numPr>
          <w:numId w:val="13"/>
        </w:numPr>
        <w:spacing w:before="120" w:after="120" w:line="288" w:lineRule="auto"/>
        <w:ind w:left="907"/>
        <w:jc w:val="left"/>
      </w:pPr>
      <w:r>
        <w:rPr>
          <w:rFonts w:eastAsia="等线" w:ascii="Arial" w:cs="Arial" w:hAnsi="Arial"/>
          <w:sz w:val="22"/>
        </w:rPr>
        <w:t>九大维度量化：毕业在哈工大时，承担国家十三五重大项目，将人生分成企业、职业、学校、专业等九大维度并量化。以复旦大学金融专业毕业生去向、华为销售岗位招人情况为例，展示人生地图能呈现与想象不同的真实情况。</w:t>
      </w:r>
    </w:p>
    <w:p>
      <w:pPr>
        <w:numPr>
          <w:numId w:val="14"/>
        </w:numPr>
        <w:spacing w:before="120" w:after="120" w:line="288" w:lineRule="auto"/>
        <w:ind w:left="907"/>
        <w:jc w:val="left"/>
      </w:pPr>
      <w:r>
        <w:rPr>
          <w:rFonts w:eastAsia="等线" w:ascii="Arial" w:cs="Arial" w:hAnsi="Arial"/>
          <w:sz w:val="22"/>
        </w:rPr>
        <w:t>实际案例启示：说话人1分享自己因信息偏差未去华为的经历，强调人生地图对个人职业选择的重要性。还通过阿里巴巴和腾讯不同岗位用人策略对比、各行业从业人员情况、城市兴衰与人口流动关系等案例，说明人生地图能清晰展示社会真实面貌。</w:t>
      </w:r>
    </w:p>
    <w:p>
      <w:pPr>
        <w:numPr>
          <w:numId w:val="15"/>
        </w:numPr>
        <w:spacing w:before="120" w:after="120" w:line="288" w:lineRule="auto"/>
        <w:ind w:left="453"/>
        <w:jc w:val="left"/>
      </w:pPr>
      <w:r>
        <w:rPr>
          <w:rFonts w:eastAsia="等线" w:ascii="Arial" w:cs="Arial" w:hAnsi="Arial"/>
          <w:b w:val="true"/>
          <w:sz w:val="22"/>
        </w:rPr>
        <w:t>薪资影响因素分析</w:t>
      </w:r>
      <w:r>
        <w:rPr>
          <w:rFonts w:eastAsia="等线" w:ascii="Arial" w:cs="Arial" w:hAnsi="Arial"/>
          <w:sz w:val="22"/>
        </w:rPr>
        <w:t>：指出薪资高低并非完全取决于个人能力，更取决于稀缺性。以保姆、新能源材料合成博士、人工智能人才为例，说明当某行业发展好且人才稀缺时，薪资会大幅上涨。</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745"/>
        <w:gridCol w:w="6789"/>
        <w:gridCol w:w="745"/>
      </w:tblGrid>
      <w:tr>
        <w:tc>
          <w:tcPr>
            <w:tcW w:w="745" w:type="dxa"/>
            <w:tcMar>
              <w:top w:type="dxa" w:w="60"/>
              <w:left w:type="dxa" w:w="120"/>
              <w:bottom w:type="dxa" w:w="30"/>
              <w:right w:type="dxa" w:w="120"/>
            </w:tcMar>
          </w:tcPr>
          <w:p>
            <w:pPr>
              <w:spacing w:before="120" w:after="120" w:line="288" w:lineRule="auto"/>
              <w:ind w:left="0"/>
              <w:jc w:val="left"/>
            </w:pPr>
          </w:p>
        </w:tc>
        <w:tc>
          <w:tcPr>
            <w:tcW w:w="6789" w:type="dxa"/>
            <w:tcMar>
              <w:top w:type="dxa" w:w="60"/>
              <w:left w:type="dxa" w:w="120"/>
              <w:bottom w:type="dxa" w:w="30"/>
              <w:right w:type="dxa" w:w="120"/>
            </w:tcMar>
          </w:tcPr>
          <w:p>
            <w:pPr>
              <w:spacing w:before="120" w:after="120" w:line="288" w:lineRule="auto"/>
              <w:ind w:left="0"/>
              <w:jc w:val="center"/>
            </w:pPr>
            <w:r>
              <w:drawing>
                <wp:inline distT="0" distR="0" distB="0" distL="0">
                  <wp:extent cx="4152900" cy="12763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4152900" cy="12763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16年研究方向演进历程</w:t>
              <w:br/>
            </w:r>
          </w:p>
        </w:tc>
        <w:tc>
          <w:tcPr>
            <w:tcW w:w="745" w:type="dxa"/>
            <w:tcMar>
              <w:top w:type="dxa" w:w="60"/>
              <w:left w:type="dxa" w:w="120"/>
              <w:bottom w:type="dxa" w:w="30"/>
              <w:right w:type="dxa" w:w="120"/>
            </w:tcMar>
          </w:tcPr>
          <w:p>
            <w:pPr>
              <w:spacing w:before="120" w:after="120" w:line="288" w:lineRule="auto"/>
              <w:ind w:left="0"/>
              <w:jc w:val="left"/>
            </w:pPr>
          </w:p>
        </w:tc>
      </w:tr>
    </w:tbl>
    <w:p>
      <w:pPr>
        <w:numPr>
          <w:numId w:val="16"/>
        </w:numPr>
        <w:spacing w:before="120" w:after="120" w:line="288" w:lineRule="auto"/>
        <w:ind w:left="0"/>
        <w:jc w:val="left"/>
      </w:pPr>
      <w:r>
        <w:rPr>
          <w:rFonts w:eastAsia="等线" w:ascii="Arial" w:cs="Arial" w:hAnsi="Arial"/>
          <w:b w:val="true"/>
          <w:sz w:val="22"/>
        </w:rPr>
        <w:t>研究成果与项目应用</w:t>
      </w:r>
    </w:p>
    <w:p>
      <w:pPr>
        <w:numPr>
          <w:numId w:val="17"/>
        </w:numPr>
        <w:spacing w:before="120" w:after="120" w:line="288" w:lineRule="auto"/>
        <w:ind w:left="453"/>
        <w:jc w:val="left"/>
      </w:pPr>
      <w:r>
        <w:rPr>
          <w:rFonts w:eastAsia="等线" w:ascii="Arial" w:cs="Arial" w:hAnsi="Arial"/>
          <w:b w:val="true"/>
          <w:sz w:val="22"/>
        </w:rPr>
        <w:t>升学规划应用</w:t>
      </w:r>
    </w:p>
    <w:p>
      <w:pPr>
        <w:numPr>
          <w:numId w:val="18"/>
        </w:numPr>
        <w:spacing w:before="120" w:after="120" w:line="288" w:lineRule="auto"/>
        <w:ind w:left="907"/>
        <w:jc w:val="left"/>
      </w:pPr>
      <w:r>
        <w:rPr>
          <w:rFonts w:eastAsia="等线" w:ascii="Arial" w:cs="Arial" w:hAnsi="Arial"/>
          <w:sz w:val="22"/>
        </w:rPr>
        <w:t>完美志愿 APP：2013 年将数据发布在哈工大官网，40 天吸引 1200 万用户。随后用数据开发“完美志愿”APP，累计为超 4000 万用户提供升学导航服务。</w:t>
      </w:r>
    </w:p>
    <w:p>
      <w:pPr>
        <w:numPr>
          <w:numId w:val="19"/>
        </w:numPr>
        <w:spacing w:before="120" w:after="120" w:line="288" w:lineRule="auto"/>
        <w:ind w:left="907"/>
        <w:jc w:val="left"/>
      </w:pPr>
      <w:r>
        <w:rPr>
          <w:rFonts w:eastAsia="等线" w:ascii="Arial" w:cs="Arial" w:hAnsi="Arial"/>
          <w:sz w:val="22"/>
        </w:rPr>
        <w:t>与新东方合作：2018 年与新东方联合打造金牌规划师项目，推出优优途学业规划应用，供新东方老师为学生做规划使用。</w:t>
      </w:r>
    </w:p>
    <w:p>
      <w:pPr>
        <w:numPr>
          <w:numId w:val="20"/>
        </w:numPr>
        <w:spacing w:before="120" w:after="120" w:line="288" w:lineRule="auto"/>
        <w:ind w:left="453"/>
        <w:jc w:val="left"/>
      </w:pPr>
      <w:r>
        <w:rPr>
          <w:rFonts w:eastAsia="等线" w:ascii="Arial" w:cs="Arial" w:hAnsi="Arial"/>
          <w:b w:val="true"/>
          <w:sz w:val="22"/>
        </w:rPr>
        <w:t>学习力诊断工具</w:t>
      </w:r>
    </w:p>
    <w:p>
      <w:pPr>
        <w:numPr>
          <w:numId w:val="21"/>
        </w:numPr>
        <w:spacing w:before="120" w:after="120" w:line="288" w:lineRule="auto"/>
        <w:ind w:left="907"/>
        <w:jc w:val="left"/>
      </w:pPr>
      <w:r>
        <w:rPr>
          <w:rFonts w:eastAsia="等线" w:ascii="Arial" w:cs="Arial" w:hAnsi="Arial"/>
          <w:sz w:val="22"/>
        </w:rPr>
        <w:t>MECE 框架：19 年从升学领域扩展到学习力诊断，开发 MECE 学习诊断框架，能精准分析学习成绩不好的原因及方法对因子的改变。</w:t>
      </w:r>
    </w:p>
    <w:p>
      <w:pPr>
        <w:numPr>
          <w:numId w:val="22"/>
        </w:numPr>
        <w:spacing w:before="120" w:after="120" w:line="288" w:lineRule="auto"/>
        <w:ind w:left="907"/>
        <w:jc w:val="left"/>
      </w:pPr>
      <w:r>
        <w:rPr>
          <w:rFonts w:eastAsia="等线" w:ascii="Arial" w:cs="Arial" w:hAnsi="Arial"/>
          <w:sz w:val="22"/>
        </w:rPr>
        <w:t>道 Pro 咨询师版本：2020 年推出道 Pro，可覆盖多种场景。</w:t>
      </w:r>
    </w:p>
    <w:p>
      <w:pPr>
        <w:numPr>
          <w:numId w:val="23"/>
        </w:numPr>
        <w:spacing w:before="120" w:after="120" w:line="288" w:lineRule="auto"/>
        <w:ind w:left="453"/>
        <w:jc w:val="left"/>
      </w:pPr>
      <w:r>
        <w:rPr>
          <w:rFonts w:eastAsia="等线" w:ascii="Arial" w:cs="Arial" w:hAnsi="Arial"/>
          <w:b w:val="true"/>
          <w:sz w:val="22"/>
        </w:rPr>
        <w:t>人才大数据平台与项目</w:t>
      </w:r>
    </w:p>
    <w:p>
      <w:pPr>
        <w:numPr>
          <w:numId w:val="24"/>
        </w:numPr>
        <w:spacing w:before="120" w:after="120" w:line="288" w:lineRule="auto"/>
        <w:ind w:left="907"/>
        <w:jc w:val="left"/>
      </w:pPr>
      <w:r>
        <w:rPr>
          <w:rFonts w:eastAsia="等线" w:ascii="Arial" w:cs="Arial" w:hAnsi="Arial"/>
          <w:sz w:val="22"/>
        </w:rPr>
        <w:t>全国人才大数据平台：2021 年与国家发改委城市中心成立全国人才大数据平台，分析全国人才情况，助力乡村人才振兴。</w:t>
      </w:r>
    </w:p>
    <w:p>
      <w:pPr>
        <w:numPr>
          <w:numId w:val="25"/>
        </w:numPr>
        <w:spacing w:before="120" w:after="120" w:line="288" w:lineRule="auto"/>
        <w:ind w:left="907"/>
        <w:jc w:val="left"/>
      </w:pPr>
      <w:r>
        <w:rPr>
          <w:rFonts w:eastAsia="等线" w:ascii="Arial" w:cs="Arial" w:hAnsi="Arial"/>
          <w:sz w:val="22"/>
        </w:rPr>
        <w:t>深圳教师人才密码项目：与深圳市政府合作，研究深圳优秀教师的人才密码。</w:t>
      </w:r>
    </w:p>
    <w:p>
      <w:pPr>
        <w:numPr>
          <w:numId w:val="26"/>
        </w:numPr>
        <w:spacing w:before="120" w:after="120" w:line="288" w:lineRule="auto"/>
        <w:ind w:left="907"/>
        <w:jc w:val="left"/>
      </w:pPr>
      <w:r>
        <w:rPr>
          <w:rFonts w:eastAsia="等线" w:ascii="Arial" w:cs="Arial" w:hAnsi="Arial"/>
          <w:sz w:val="22"/>
        </w:rPr>
        <w:t>道 APP：推出人类历史上第一个人生导航仪“道”APP，输入现状和目标可指出路径和要做的事。</w:t>
      </w:r>
    </w:p>
    <w:p>
      <w:pPr>
        <w:spacing w:before="120" w:after="120" w:line="288" w:lineRule="auto"/>
        <w:ind w:left="453"/>
        <w:jc w:val="center"/>
      </w:pPr>
      <w:r>
        <w:drawing>
          <wp:inline distT="0" distR="0" distB="0" distL="0">
            <wp:extent cx="5257800" cy="10191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1019175"/>
                    </a:xfrm>
                    <a:prstGeom prst="rect">
                      <a:avLst/>
                    </a:prstGeom>
                  </pic:spPr>
                </pic:pic>
              </a:graphicData>
            </a:graphic>
          </wp:inline>
        </w:drawing>
      </w:r>
    </w:p>
    <w:p>
      <w:pPr>
        <w:spacing w:before="120" w:after="120" w:line="288" w:lineRule="auto"/>
        <w:ind w:left="453"/>
        <w:jc w:val="center"/>
      </w:pPr>
      <w:r>
        <w:rPr>
          <w:rFonts w:eastAsia="等线" w:ascii="Arial" w:cs="Arial" w:hAnsi="Arial"/>
          <w:color w:val="8F959E"/>
          <w:sz w:val="22"/>
        </w:rPr>
        <w:t>研究成果与项目应用时间线</w:t>
        <w:br/>
      </w:r>
    </w:p>
    <w:p>
      <w:pPr>
        <w:numPr>
          <w:numId w:val="27"/>
        </w:numPr>
        <w:spacing w:before="120" w:after="120" w:line="288" w:lineRule="auto"/>
        <w:ind w:left="0"/>
        <w:jc w:val="left"/>
      </w:pPr>
      <w:r>
        <w:rPr>
          <w:rFonts w:eastAsia="等线" w:ascii="Arial" w:cs="Arial" w:hAnsi="Arial"/>
          <w:b w:val="true"/>
          <w:sz w:val="22"/>
        </w:rPr>
        <w:t>成长密码课程核心与收获</w:t>
      </w:r>
    </w:p>
    <w:p>
      <w:pPr>
        <w:numPr>
          <w:numId w:val="28"/>
        </w:numPr>
        <w:spacing w:before="120" w:after="120" w:line="288" w:lineRule="auto"/>
        <w:ind w:left="453"/>
        <w:jc w:val="left"/>
      </w:pPr>
      <w:r>
        <w:rPr>
          <w:rFonts w:eastAsia="等线" w:ascii="Arial" w:cs="Arial" w:hAnsi="Arial"/>
          <w:b w:val="true"/>
          <w:sz w:val="22"/>
        </w:rPr>
        <w:t>课程核心内容</w:t>
      </w:r>
    </w:p>
    <w:p>
      <w:pPr>
        <w:numPr>
          <w:numId w:val="29"/>
        </w:numPr>
        <w:spacing w:before="120" w:after="120" w:line="288" w:lineRule="auto"/>
        <w:ind w:left="907"/>
        <w:jc w:val="left"/>
      </w:pPr>
      <w:r>
        <w:rPr>
          <w:rFonts w:eastAsia="等线" w:ascii="Arial" w:cs="Arial" w:hAnsi="Arial"/>
          <w:sz w:val="22"/>
        </w:rPr>
        <w:t>三个场景与问题：成长密码课程核心围绕提分、升学和就业三个场景，解答“你是什么品种的龙”“成长榜样和目标是什么”“未来发展路径怎样”三个问题。</w:t>
      </w:r>
    </w:p>
    <w:p>
      <w:pPr>
        <w:numPr>
          <w:numId w:val="30"/>
        </w:numPr>
        <w:spacing w:before="120" w:after="120" w:line="288" w:lineRule="auto"/>
        <w:ind w:left="907"/>
        <w:jc w:val="left"/>
      </w:pPr>
      <w:r>
        <w:rPr>
          <w:rFonts w:eastAsia="等线" w:ascii="Arial" w:cs="Arial" w:hAnsi="Arial"/>
          <w:sz w:val="22"/>
        </w:rPr>
        <w:t>基于 CIP 成长理论：课程框架基于 CIP 成长理论，强调因材施教制定成长计划对个人成功的关键作用。</w:t>
      </w:r>
    </w:p>
    <w:p>
      <w:pPr>
        <w:numPr>
          <w:numId w:val="31"/>
        </w:numPr>
        <w:spacing w:before="120" w:after="120" w:line="288" w:lineRule="auto"/>
        <w:ind w:left="453"/>
        <w:jc w:val="left"/>
      </w:pPr>
      <w:r>
        <w:rPr>
          <w:rFonts w:eastAsia="等线" w:ascii="Arial" w:cs="Arial" w:hAnsi="Arial"/>
          <w:b w:val="true"/>
          <w:sz w:val="22"/>
        </w:rPr>
        <w:t>学员收获</w:t>
      </w:r>
    </w:p>
    <w:p>
      <w:pPr>
        <w:numPr>
          <w:numId w:val="32"/>
        </w:numPr>
        <w:spacing w:before="120" w:after="120" w:line="288" w:lineRule="auto"/>
        <w:ind w:left="907"/>
        <w:jc w:val="left"/>
      </w:pPr>
      <w:r>
        <w:rPr>
          <w:rFonts w:eastAsia="等线" w:ascii="Arial" w:cs="Arial" w:hAnsi="Arial"/>
          <w:sz w:val="22"/>
        </w:rPr>
        <w:t>黄金职业密码：包括性格、禀赋、金钱观、兴趣和胜任力。</w:t>
      </w:r>
    </w:p>
    <w:p>
      <w:pPr>
        <w:numPr>
          <w:numId w:val="33"/>
        </w:numPr>
        <w:spacing w:before="120" w:after="120" w:line="288" w:lineRule="auto"/>
        <w:ind w:left="907"/>
        <w:jc w:val="left"/>
      </w:pPr>
      <w:r>
        <w:rPr>
          <w:rFonts w:eastAsia="等线" w:ascii="Arial" w:cs="Arial" w:hAnsi="Arial"/>
          <w:sz w:val="22"/>
        </w:rPr>
        <w:t>黄金升学密码：涉及就业、学校、专业、城市经济状况和升学胜任力。</w:t>
      </w:r>
    </w:p>
    <w:p>
      <w:pPr>
        <w:numPr>
          <w:numId w:val="34"/>
        </w:numPr>
        <w:spacing w:before="120" w:after="120" w:line="288" w:lineRule="auto"/>
        <w:ind w:left="907"/>
        <w:jc w:val="left"/>
      </w:pPr>
      <w:r>
        <w:rPr>
          <w:rFonts w:eastAsia="等线" w:ascii="Arial" w:cs="Arial" w:hAnsi="Arial"/>
          <w:sz w:val="22"/>
        </w:rPr>
        <w:t>黄金学习密码：涵盖学习动力、执行力、能力和环境。</w:t>
      </w:r>
    </w:p>
    <w:p>
      <w:pPr>
        <w:numPr>
          <w:numId w:val="35"/>
        </w:numPr>
        <w:spacing w:before="120" w:after="120" w:line="288" w:lineRule="auto"/>
        <w:ind w:left="0"/>
        <w:jc w:val="left"/>
      </w:pPr>
      <w:r>
        <w:rPr>
          <w:rFonts w:eastAsia="等线" w:ascii="Arial" w:cs="Arial" w:hAnsi="Arial"/>
          <w:b w:val="true"/>
          <w:sz w:val="22"/>
        </w:rPr>
        <w:t>后续展望</w:t>
      </w:r>
    </w:p>
    <w:p>
      <w:pPr>
        <w:numPr>
          <w:numId w:val="36"/>
        </w:numPr>
        <w:spacing w:before="120" w:after="120" w:line="288" w:lineRule="auto"/>
        <w:ind w:left="453"/>
        <w:jc w:val="left"/>
      </w:pPr>
      <w:r>
        <w:rPr>
          <w:rFonts w:eastAsia="等线" w:ascii="Arial" w:cs="Arial" w:hAnsi="Arial"/>
          <w:b w:val="true"/>
          <w:sz w:val="22"/>
        </w:rPr>
        <w:t>课程深入讲解</w:t>
      </w:r>
      <w:r>
        <w:rPr>
          <w:rFonts w:eastAsia="等线" w:ascii="Arial" w:cs="Arial" w:hAnsi="Arial"/>
          <w:sz w:val="22"/>
        </w:rPr>
        <w:t>：今天下午将进行就业篇的讲解，深入探讨就业相关问题。</w:t>
      </w:r>
    </w:p>
    <w:p>
      <w:pPr>
        <w:numPr>
          <w:numId w:val="37"/>
        </w:numPr>
        <w:spacing w:before="120" w:after="120" w:line="288" w:lineRule="auto"/>
        <w:ind w:left="453"/>
        <w:jc w:val="left"/>
      </w:pPr>
      <w:r>
        <w:rPr>
          <w:rFonts w:eastAsia="等线" w:ascii="Arial" w:cs="Arial" w:hAnsi="Arial"/>
          <w:b w:val="true"/>
          <w:sz w:val="22"/>
        </w:rPr>
        <w:t>持续研究项目</w:t>
      </w:r>
      <w:r>
        <w:rPr>
          <w:rFonts w:eastAsia="等线" w:ascii="Arial" w:cs="Arial" w:hAnsi="Arial"/>
          <w:sz w:val="22"/>
        </w:rPr>
        <w:t>：继续推进破解优秀教师人才密码项目，探索什么样的人适合成为优秀教师。</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智能章节</w:t>
      </w:r>
      <w:bookmarkEnd w:id="1"/>
    </w:p>
    <w:p>
      <w:pPr>
        <w:spacing w:before="120" w:after="120" w:line="288" w:lineRule="auto"/>
        <w:ind w:left="0"/>
        <w:jc w:val="left"/>
      </w:pPr>
      <w:hyperlink r:id="rId8">
        <w:r>
          <w:rPr>
            <w:rFonts w:eastAsia="等线" w:ascii="Arial" w:cs="Arial" w:hAnsi="Arial"/>
            <w:color w:val="3370ff"/>
            <w:sz w:val="22"/>
          </w:rPr>
          <w:t>00:02</w:t>
        </w:r>
      </w:hyperlink>
      <w:r>
        <w:rPr>
          <w:rFonts w:eastAsia="等线" w:ascii="Arial" w:cs="Arial" w:hAnsi="Arial"/>
          <w:b w:val="true"/>
          <w:sz w:val="22"/>
        </w:rPr>
        <w:t xml:space="preserve">  16年探索破解成长密码，消除信息差促教育公平</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1介绍16年探索旨在破解每个人的成长密码，探讨成长密码是天生还是后天等问题。他将人生比作游戏，希望让每个人拥有成长攻略。还提及信息差，包括信息缺失和信息不对称，如天分不知、广东高考录取率等情况，期望用信息技术解决此类问题，实现教育公平。</w:t>
            </w:r>
          </w:p>
        </w:tc>
      </w:tr>
    </w:tbl>
    <w:p>
      <w:pPr>
        <w:spacing w:before="120" w:after="120" w:line="288" w:lineRule="auto"/>
        <w:ind w:left="0"/>
        <w:jc w:val="left"/>
      </w:pPr>
      <w:hyperlink r:id="rId9">
        <w:r>
          <w:rPr>
            <w:rFonts w:eastAsia="等线" w:ascii="Arial" w:cs="Arial" w:hAnsi="Arial"/>
            <w:color w:val="3370ff"/>
            <w:sz w:val="22"/>
          </w:rPr>
          <w:t>03:34</w:t>
        </w:r>
      </w:hyperlink>
      <w:r>
        <w:rPr>
          <w:rFonts w:eastAsia="等线" w:ascii="Arial" w:cs="Arial" w:hAnsi="Arial"/>
          <w:b w:val="true"/>
          <w:sz w:val="22"/>
        </w:rPr>
        <w:t xml:space="preserve">  16年构建人生地图及社会各维度数据洞察</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1分享过去16年研究成果，其将人生成长分为身心健康、学习提升、学规划和职业规划四大场景。围绕人生地图展开，讲述构建过程，通过多维度量化呈现各主体信息，还列举华为用人、企业岗位对比、行业兴衰、人口流动、保姆薪资等案例，体现人生地图助清晰了解社会真实情况，成果受关注。</w:t>
            </w:r>
          </w:p>
        </w:tc>
      </w:tr>
    </w:tbl>
    <w:p>
      <w:pPr>
        <w:spacing w:before="120" w:after="120" w:line="288" w:lineRule="auto"/>
        <w:ind w:left="0"/>
        <w:jc w:val="left"/>
      </w:pPr>
      <w:hyperlink r:id="rId10">
        <w:r>
          <w:rPr>
            <w:rFonts w:eastAsia="等线" w:ascii="Arial" w:cs="Arial" w:hAnsi="Arial"/>
            <w:color w:val="3370ff"/>
            <w:sz w:val="22"/>
          </w:rPr>
          <w:t>17:14</w:t>
        </w:r>
      </w:hyperlink>
      <w:r>
        <w:rPr>
          <w:rFonts w:eastAsia="等线" w:ascii="Arial" w:cs="Arial" w:hAnsi="Arial"/>
          <w:b w:val="true"/>
          <w:sz w:val="22"/>
        </w:rPr>
        <w:t xml:space="preserve">  完美志愿APP服务成果及与新东方合作项目回顾</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介绍了公司在升学规划领域的发展历程。2013年推出“完美志愿”APP，已为超4000万用户提供升学导航服务，但市场普及不足。2017年与新东方相关人员举办线上分享会，吸引220万左右观众。2018年与新东方战略合作，打造“优优途学业规划”并置于金牌规划师应用中供老师为学生规划使用。</w:t>
            </w:r>
          </w:p>
        </w:tc>
      </w:tr>
    </w:tbl>
    <w:p>
      <w:pPr>
        <w:spacing w:before="120" w:after="120" w:line="288" w:lineRule="auto"/>
        <w:ind w:left="0"/>
        <w:jc w:val="left"/>
      </w:pPr>
      <w:hyperlink r:id="rId11">
        <w:r>
          <w:rPr>
            <w:rFonts w:eastAsia="等线" w:ascii="Arial" w:cs="Arial" w:hAnsi="Arial"/>
            <w:color w:val="3370ff"/>
            <w:sz w:val="22"/>
          </w:rPr>
          <w:t>18:50</w:t>
        </w:r>
      </w:hyperlink>
      <w:r>
        <w:rPr>
          <w:rFonts w:eastAsia="等线" w:ascii="Arial" w:cs="Arial" w:hAnsi="Arial"/>
          <w:b w:val="true"/>
          <w:sz w:val="22"/>
        </w:rPr>
        <w:t xml:space="preserve">  19 - 20年学习诊断工具开发与应用介绍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介绍了说话人在2019年从升学领域扩展到学习力诊断工具MECE，这一学习诊断框架能精准分析学习成绩不好的因子及所用方法的作用，让老师、学生和家长精准了解成绩差原因，避免像自己当年被误诊的情况。2020年还推出了专门给老师用的道Pro咨询师版本，可覆盖多种场景。</w:t>
            </w:r>
          </w:p>
        </w:tc>
      </w:tr>
    </w:tbl>
    <w:p>
      <w:pPr>
        <w:spacing w:before="120" w:after="120" w:line="288" w:lineRule="auto"/>
        <w:ind w:left="0"/>
        <w:jc w:val="left"/>
      </w:pPr>
      <w:hyperlink r:id="rId12">
        <w:r>
          <w:rPr>
            <w:rFonts w:eastAsia="等线" w:ascii="Arial" w:cs="Arial" w:hAnsi="Arial"/>
            <w:color w:val="3370ff"/>
            <w:sz w:val="22"/>
          </w:rPr>
          <w:t>20:27</w:t>
        </w:r>
      </w:hyperlink>
      <w:r>
        <w:rPr>
          <w:rFonts w:eastAsia="等线" w:ascii="Arial" w:cs="Arial" w:hAnsi="Arial"/>
          <w:b w:val="true"/>
          <w:sz w:val="22"/>
        </w:rPr>
        <w:t xml:space="preserve">  全国人才大数据平台助力乡村与深圳教师人才分析</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讲述了2021年与国家发改委城市中心成立全国人才大数据平台，开展分析全国人才助力乡村人才振兴、推动乡村和城市人才流转的数据分析支持工作。此外，还提及近期与深圳市政府合作的项目，即探寻深圳优秀教师的人才密码，认为这是有价值和意义的事情。</w:t>
            </w:r>
          </w:p>
        </w:tc>
      </w:tr>
    </w:tbl>
    <w:p>
      <w:pPr>
        <w:spacing w:before="120" w:after="120" w:line="288" w:lineRule="auto"/>
        <w:ind w:left="0"/>
        <w:jc w:val="left"/>
      </w:pPr>
      <w:hyperlink r:id="rId13">
        <w:r>
          <w:rPr>
            <w:rFonts w:eastAsia="等线" w:ascii="Arial" w:cs="Arial" w:hAnsi="Arial"/>
            <w:color w:val="3370ff"/>
            <w:sz w:val="22"/>
          </w:rPr>
          <w:t>21:03</w:t>
        </w:r>
      </w:hyperlink>
      <w:r>
        <w:rPr>
          <w:rFonts w:eastAsia="等线" w:ascii="Arial" w:cs="Arial" w:hAnsi="Arial"/>
          <w:b w:val="true"/>
          <w:sz w:val="22"/>
        </w:rPr>
        <w:t xml:space="preserve">  APP人生导航仪功能及课程培训目的介绍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提到大家刚下载的APP是人类历史上第一个人生导航仪，它能将很多问题简单化。用户输入现状并选定如提升成绩或就业等未来目的地，APP就会指出所有路径和要做的事。这是说话人16年来首次将相关内容闭环和汇总，希望通过这两天的培训课程，让大家更好地理解如何使用该APP。</w:t>
            </w:r>
          </w:p>
        </w:tc>
      </w:tr>
    </w:tbl>
    <w:p>
      <w:pPr>
        <w:spacing w:before="120" w:after="120" w:line="288" w:lineRule="auto"/>
        <w:ind w:left="0"/>
        <w:jc w:val="left"/>
      </w:pPr>
      <w:hyperlink r:id="rId14">
        <w:r>
          <w:rPr>
            <w:rFonts w:eastAsia="等线" w:ascii="Arial" w:cs="Arial" w:hAnsi="Arial"/>
            <w:color w:val="3370ff"/>
            <w:sz w:val="22"/>
          </w:rPr>
          <w:t>21:50</w:t>
        </w:r>
      </w:hyperlink>
      <w:r>
        <w:rPr>
          <w:rFonts w:eastAsia="等线" w:ascii="Arial" w:cs="Arial" w:hAnsi="Arial"/>
          <w:b w:val="true"/>
          <w:sz w:val="22"/>
        </w:rPr>
        <w:t xml:space="preserve">  2022破解优秀教师人才密码项目探讨</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提及2022年破解优秀教师人才密码的项目，重点探讨如何发现适合做老师且有可能成为学生心目中理想优秀老师的人。还指出当前很多学校招聘倾向于高学历博士，但学历高并不等同于教得好，强调该项目致力于破解究竟什么样的人能成为优秀老师这一问题。</w:t>
            </w:r>
          </w:p>
        </w:tc>
      </w:tr>
    </w:tbl>
    <w:p>
      <w:pPr>
        <w:spacing w:before="120" w:after="120" w:line="288" w:lineRule="auto"/>
        <w:ind w:left="0"/>
        <w:jc w:val="left"/>
      </w:pPr>
      <w:hyperlink r:id="rId15">
        <w:r>
          <w:rPr>
            <w:rFonts w:eastAsia="等线" w:ascii="Arial" w:cs="Arial" w:hAnsi="Arial"/>
            <w:color w:val="3370ff"/>
            <w:sz w:val="22"/>
          </w:rPr>
          <w:t>22:27</w:t>
        </w:r>
      </w:hyperlink>
      <w:r>
        <w:rPr>
          <w:rFonts w:eastAsia="等线" w:ascii="Arial" w:cs="Arial" w:hAnsi="Arial"/>
          <w:b w:val="true"/>
          <w:sz w:val="22"/>
        </w:rPr>
        <w:t xml:space="preserve">  成长密码课程核心：三场景三问题及CIP理论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成长的密码课程核心，涉及提分、升学和就业三个场景，需回答三个问题：精准分析学生特点（如“是什么品种的龙”）、制定清晰成长目标（成长模板）、明确未来发展路径。该框架基于CIP成长理论，强调因材施教，破解成长密码是获得成功的关键，这也是两天分享的核心内容。</w:t>
            </w:r>
          </w:p>
        </w:tc>
      </w:tr>
    </w:tbl>
    <w:p>
      <w:pPr>
        <w:spacing w:before="120" w:after="120" w:line="288" w:lineRule="auto"/>
        <w:ind w:left="0"/>
        <w:jc w:val="left"/>
      </w:pPr>
      <w:hyperlink r:id="rId16">
        <w:r>
          <w:rPr>
            <w:rFonts w:eastAsia="等线" w:ascii="Arial" w:cs="Arial" w:hAnsi="Arial"/>
            <w:color w:val="3370ff"/>
            <w:sz w:val="22"/>
          </w:rPr>
          <w:t>24:16</w:t>
        </w:r>
      </w:hyperlink>
      <w:r>
        <w:rPr>
          <w:rFonts w:eastAsia="等线" w:ascii="Arial" w:cs="Arial" w:hAnsi="Arial"/>
          <w:b w:val="true"/>
          <w:sz w:val="22"/>
        </w:rPr>
        <w:t xml:space="preserve">  课程收获：三种成长密码及就业篇开场探讨</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此次课程预期收获，即获得专属成长密码，包括黄金职业密码（CAMIQC），涵盖性格、禀赋、金钱观等；黄金升学密码（JUMEQ），涉及就业、学校、专业等情况；黄金学习密码（MECE），包含学习动力、执行力等。还提及下午为就业篇，并提出“什么叫就业好”的问题。</w:t>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关键决策</w:t>
      </w:r>
      <w:bookmarkEnd w:id="2"/>
    </w:p>
    <w:p>
      <w:pPr>
        <w:spacing w:before="120" w:after="120" w:line="288" w:lineRule="auto"/>
        <w:ind w:left="0"/>
        <w:jc w:val="left"/>
      </w:pPr>
      <w:r>
        <w:rPr>
          <w:rFonts w:eastAsia="等线" w:ascii="Arial" w:cs="Arial" w:hAnsi="Arial"/>
          <w:sz w:val="22"/>
        </w:rPr>
        <w:t>本次会议为分享类会议，无关键决策。会议关键内容总结如下：</w:t>
      </w:r>
    </w:p>
    <w:p>
      <w:pPr>
        <w:numPr>
          <w:numId w:val="38"/>
        </w:numPr>
        <w:spacing w:before="120" w:after="120" w:line="288" w:lineRule="auto"/>
        <w:ind w:left="0"/>
        <w:jc w:val="left"/>
      </w:pPr>
      <w:r>
        <w:rPr>
          <w:rFonts w:eastAsia="等线" w:ascii="Arial" w:cs="Arial" w:hAnsi="Arial"/>
          <w:b w:val="true"/>
          <w:sz w:val="22"/>
        </w:rPr>
        <w:t>个人使命</w:t>
      </w:r>
      <w:r>
        <w:rPr>
          <w:rFonts w:eastAsia="等线" w:ascii="Arial" w:cs="Arial" w:hAnsi="Arial"/>
          <w:sz w:val="22"/>
        </w:rPr>
        <w:t>：说话人1希望破解每个人的成长密码，让大家少走弯路，拥有属于自己的成长攻略。</w:t>
      </w:r>
    </w:p>
    <w:p>
      <w:pPr>
        <w:numPr>
          <w:numId w:val="39"/>
        </w:numPr>
        <w:spacing w:before="120" w:after="120" w:line="288" w:lineRule="auto"/>
        <w:ind w:left="0"/>
        <w:jc w:val="left"/>
      </w:pPr>
      <w:r>
        <w:rPr>
          <w:rFonts w:eastAsia="等线" w:ascii="Arial" w:cs="Arial" w:hAnsi="Arial"/>
          <w:b w:val="true"/>
          <w:sz w:val="22"/>
        </w:rPr>
        <w:t>信息差与教育公平</w:t>
      </w:r>
      <w:r>
        <w:rPr>
          <w:rFonts w:eastAsia="等线" w:ascii="Arial" w:cs="Arial" w:hAnsi="Arial"/>
          <w:sz w:val="22"/>
        </w:rPr>
        <w:t>：信息差包括信息缺失和信息不对称，说话人1希望通过信息技术手段解决这些问题，实现教育公平。</w:t>
      </w:r>
    </w:p>
    <w:p>
      <w:pPr>
        <w:numPr>
          <w:numId w:val="40"/>
        </w:numPr>
        <w:spacing w:before="120" w:after="120" w:line="288" w:lineRule="auto"/>
        <w:ind w:left="0"/>
        <w:jc w:val="left"/>
      </w:pPr>
      <w:r>
        <w:rPr>
          <w:rFonts w:eastAsia="等线" w:ascii="Arial" w:cs="Arial" w:hAnsi="Arial"/>
          <w:b w:val="true"/>
          <w:sz w:val="22"/>
        </w:rPr>
        <w:t>人生地图构建</w:t>
      </w:r>
      <w:r>
        <w:rPr>
          <w:rFonts w:eastAsia="等线" w:ascii="Arial" w:cs="Arial" w:hAnsi="Arial"/>
          <w:sz w:val="22"/>
        </w:rPr>
        <w:t>：说话人1在16年的研究中构建了人生地图，将社会各要素量化，能帮助人们了解社会真实情况，在升学、就业等方面做出更合适的选择。</w:t>
      </w:r>
    </w:p>
    <w:p>
      <w:pPr>
        <w:numPr>
          <w:numId w:val="41"/>
        </w:numPr>
        <w:spacing w:before="120" w:after="120" w:line="288" w:lineRule="auto"/>
        <w:ind w:left="0"/>
        <w:jc w:val="left"/>
      </w:pPr>
      <w:r>
        <w:rPr>
          <w:rFonts w:eastAsia="等线" w:ascii="Arial" w:cs="Arial" w:hAnsi="Arial"/>
          <w:b w:val="true"/>
          <w:sz w:val="22"/>
        </w:rPr>
        <w:t>成长密码课程</w:t>
      </w:r>
      <w:r>
        <w:rPr>
          <w:rFonts w:eastAsia="等线" w:ascii="Arial" w:cs="Arial" w:hAnsi="Arial"/>
          <w:sz w:val="22"/>
        </w:rPr>
        <w:t>：课程核心围绕提分、升学和就业三个场景，回答个人特点、成长目标和发展路径三个问题，基于CIP成长理论，强调因材施教。</w:t>
      </w:r>
    </w:p>
    <w:p>
      <w:pPr>
        <w:numPr>
          <w:numId w:val="42"/>
        </w:numPr>
        <w:spacing w:before="120" w:after="120" w:line="288" w:lineRule="auto"/>
        <w:ind w:left="0"/>
        <w:jc w:val="left"/>
      </w:pPr>
      <w:r>
        <w:rPr>
          <w:rFonts w:eastAsia="等线" w:ascii="Arial" w:cs="Arial" w:hAnsi="Arial"/>
          <w:b w:val="true"/>
          <w:sz w:val="22"/>
        </w:rPr>
        <w:t>课程收获</w:t>
      </w:r>
      <w:r>
        <w:rPr>
          <w:rFonts w:eastAsia="等线" w:ascii="Arial" w:cs="Arial" w:hAnsi="Arial"/>
          <w:sz w:val="22"/>
        </w:rPr>
        <w:t>：学员将获得专属成长密码，包括黄金职业密码、黄金升学密码和黄金学习密码。</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金句时刻</w:t>
      </w:r>
      <w:bookmarkEnd w:id="3"/>
    </w:p>
    <w:p>
      <w:pPr>
        <w:spacing w:before="120" w:after="120" w:line="288" w:lineRule="auto"/>
        <w:ind w:left="0"/>
        <w:jc w:val="left"/>
      </w:pPr>
      <w:r>
        <w:rPr>
          <w:rFonts w:eastAsia="等线" w:ascii="Arial" w:cs="Arial" w:hAnsi="Arial"/>
          <w:sz w:val="22"/>
        </w:rPr>
        <w:t>「人生就像一场游戏，我们应努力让自己开心，并找到属于自己的成长攻略，避免少走弯路。」</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突出会议主题，点明要破解成长密码，找到成长攻略，引发对人生成长的思考。</w:t>
      </w:r>
    </w:p>
    <w:p>
      <w:pPr>
        <w:spacing w:before="120" w:after="120" w:line="288" w:lineRule="auto"/>
        <w:ind w:left="0"/>
        <w:jc w:val="left"/>
      </w:pPr>
    </w:p>
    <w:p>
      <w:pPr>
        <w:spacing w:before="120" w:after="120" w:line="288" w:lineRule="auto"/>
        <w:ind w:left="0"/>
        <w:jc w:val="left"/>
      </w:pPr>
      <w:r>
        <w:rPr>
          <w:rFonts w:eastAsia="等线" w:ascii="Arial" w:cs="Arial" w:hAnsi="Arial"/>
          <w:sz w:val="22"/>
        </w:rPr>
        <w:t>「薪资高不是因为你牛，而是因为你稀缺。」</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提出新颖观点，解释了薪资高低与人才稀缺性的关系，让人对薪资影响因素有新的认识。</w:t>
      </w:r>
    </w:p>
    <w:p>
      <w:pPr>
        <w:spacing w:before="120" w:after="120" w:line="288" w:lineRule="auto"/>
        <w:ind w:left="0"/>
        <w:jc w:val="left"/>
      </w:pPr>
    </w:p>
    <w:p>
      <w:pPr>
        <w:spacing w:before="120" w:after="120" w:line="288" w:lineRule="auto"/>
        <w:ind w:left="0"/>
        <w:jc w:val="left"/>
      </w:pPr>
      <w:r>
        <w:rPr>
          <w:rFonts w:eastAsia="等线" w:ascii="Arial" w:cs="Arial" w:hAnsi="Arial"/>
          <w:sz w:val="22"/>
        </w:rPr>
        <w:t>「每个人只有因材施教，根据个人特点制定相应的成长计划，才能获得成功。」</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强调了因材施教在个人成长中的重要性，是会议关于成长密码核心观点的体现。</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相关链接</w:t>
      </w:r>
      <w:bookmarkEnd w:id="4"/>
    </w:p>
    <w:p>
      <w:pPr>
        <w:numPr>
          <w:numId w:val="43"/>
        </w:numPr>
        <w:spacing w:before="120" w:after="120" w:line="288" w:lineRule="auto"/>
        <w:ind w:left="0"/>
        <w:jc w:val="left"/>
      </w:pPr>
      <w:r>
        <w:rPr>
          <w:rFonts w:eastAsia="等线" w:ascii="Arial" w:cs="Arial" w:hAnsi="Arial"/>
          <w:sz w:val="22"/>
        </w:rPr>
        <w:t>妙记：</w:t>
      </w:r>
      <w:hyperlink r:id="rId17">
        <w:r>
          <w:rPr>
            <w:rFonts w:eastAsia="等线" w:ascii="Arial" w:cs="Arial" w:hAnsi="Arial"/>
            <w:color w:val="3370ff"/>
            <w:sz w:val="22"/>
          </w:rPr>
          <w:t>8、我的使命：打造人生导航仪</w:t>
        </w:r>
      </w:hyperlink>
    </w:p>
    <w:p>
      <w:pPr>
        <w:numPr>
          <w:numId w:val="44"/>
        </w:numPr>
        <w:spacing w:before="120" w:after="120" w:line="288" w:lineRule="auto"/>
        <w:ind w:left="0"/>
        <w:jc w:val="left"/>
      </w:pPr>
      <w:r>
        <w:rPr>
          <w:rFonts w:eastAsia="等线" w:ascii="Arial" w:cs="Arial" w:hAnsi="Arial"/>
          <w:sz w:val="22"/>
        </w:rPr>
        <w:t>文字记录</w:t>
      </w:r>
    </w:p>
    <w:p>
      <w:pPr>
        <w:numPr>
          <w:numId w:val="45"/>
        </w:numPr>
        <w:spacing w:before="120" w:after="120" w:line="288" w:lineRule="auto"/>
        <w:ind w:left="453"/>
        <w:jc w:val="left"/>
      </w:pPr>
      <w:hyperlink r:id="rId18">
        <w:r>
          <w:rPr>
            <w:rFonts w:eastAsia="等线" w:ascii="Arial" w:cs="Arial" w:hAnsi="Arial"/>
            <w:color w:val="3370ff"/>
            <w:sz w:val="22"/>
          </w:rPr>
          <w:t>8、我的使命：打造人生导航仪 2026年1月22日</w:t>
        </w:r>
      </w:hyperlink>
    </w:p>
    <w:sectPr>
      <w:footerReference w:type="default" r:id="rId3"/>
      <w:headerReference w:type="default" r:id="rId1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45087">
    <w:lvl>
      <w:numFmt w:val="bullet"/>
      <w:suff w:val="tab"/>
      <w:lvlText w:val="•"/>
      <w:rPr>
        <w:color w:val="3370ff"/>
      </w:rPr>
    </w:lvl>
  </w:abstractNum>
  <w:abstractNum w:abstractNumId="345088">
    <w:lvl>
      <w:numFmt w:val="bullet"/>
      <w:suff w:val="tab"/>
      <w:lvlText w:val="￮"/>
      <w:rPr>
        <w:color w:val="3370ff"/>
      </w:rPr>
    </w:lvl>
  </w:abstractNum>
  <w:abstractNum w:abstractNumId="345089">
    <w:lvl>
      <w:numFmt w:val="bullet"/>
      <w:suff w:val="tab"/>
      <w:lvlText w:val="▪"/>
      <w:rPr>
        <w:color w:val="3370ff"/>
        <w:sz w:val="11"/>
      </w:rPr>
    </w:lvl>
  </w:abstractNum>
  <w:abstractNum w:abstractNumId="345090">
    <w:lvl>
      <w:numFmt w:val="bullet"/>
      <w:suff w:val="tab"/>
      <w:lvlText w:val="▪"/>
      <w:rPr>
        <w:color w:val="3370ff"/>
        <w:sz w:val="11"/>
      </w:rPr>
    </w:lvl>
  </w:abstractNum>
  <w:abstractNum w:abstractNumId="345091">
    <w:lvl>
      <w:numFmt w:val="bullet"/>
      <w:suff w:val="tab"/>
      <w:lvlText w:val="￮"/>
      <w:rPr>
        <w:color w:val="3370ff"/>
      </w:rPr>
    </w:lvl>
  </w:abstractNum>
  <w:abstractNum w:abstractNumId="345092">
    <w:lvl>
      <w:numFmt w:val="bullet"/>
      <w:suff w:val="tab"/>
      <w:lvlText w:val="▪"/>
      <w:rPr>
        <w:color w:val="3370ff"/>
        <w:sz w:val="11"/>
      </w:rPr>
    </w:lvl>
  </w:abstractNum>
  <w:abstractNum w:abstractNumId="345093">
    <w:lvl>
      <w:numFmt w:val="bullet"/>
      <w:suff w:val="tab"/>
      <w:lvlText w:val="▪"/>
      <w:rPr>
        <w:color w:val="3370ff"/>
        <w:sz w:val="11"/>
      </w:rPr>
    </w:lvl>
  </w:abstractNum>
  <w:abstractNum w:abstractNumId="345094">
    <w:lvl>
      <w:numFmt w:val="bullet"/>
      <w:suff w:val="tab"/>
      <w:lvlText w:val="•"/>
      <w:rPr>
        <w:color w:val="3370ff"/>
      </w:rPr>
    </w:lvl>
  </w:abstractNum>
  <w:abstractNum w:abstractNumId="345095">
    <w:lvl>
      <w:numFmt w:val="bullet"/>
      <w:suff w:val="tab"/>
      <w:lvlText w:val="￮"/>
      <w:rPr>
        <w:color w:val="3370ff"/>
      </w:rPr>
    </w:lvl>
  </w:abstractNum>
  <w:abstractNum w:abstractNumId="345096">
    <w:lvl>
      <w:numFmt w:val="bullet"/>
      <w:suff w:val="tab"/>
      <w:lvlText w:val="▪"/>
      <w:rPr>
        <w:color w:val="3370ff"/>
        <w:sz w:val="11"/>
      </w:rPr>
    </w:lvl>
  </w:abstractNum>
  <w:abstractNum w:abstractNumId="345097">
    <w:lvl>
      <w:numFmt w:val="bullet"/>
      <w:suff w:val="tab"/>
      <w:lvlText w:val="▪"/>
      <w:rPr>
        <w:color w:val="3370ff"/>
        <w:sz w:val="11"/>
      </w:rPr>
    </w:lvl>
  </w:abstractNum>
  <w:abstractNum w:abstractNumId="345098">
    <w:lvl>
      <w:numFmt w:val="bullet"/>
      <w:suff w:val="tab"/>
      <w:lvlText w:val="￮"/>
      <w:rPr>
        <w:color w:val="3370ff"/>
      </w:rPr>
    </w:lvl>
  </w:abstractNum>
  <w:abstractNum w:abstractNumId="345099">
    <w:lvl>
      <w:numFmt w:val="bullet"/>
      <w:suff w:val="tab"/>
      <w:lvlText w:val="▪"/>
      <w:rPr>
        <w:color w:val="3370ff"/>
        <w:sz w:val="11"/>
      </w:rPr>
    </w:lvl>
  </w:abstractNum>
  <w:abstractNum w:abstractNumId="345100">
    <w:lvl>
      <w:numFmt w:val="bullet"/>
      <w:suff w:val="tab"/>
      <w:lvlText w:val="▪"/>
      <w:rPr>
        <w:color w:val="3370ff"/>
        <w:sz w:val="11"/>
      </w:rPr>
    </w:lvl>
  </w:abstractNum>
  <w:abstractNum w:abstractNumId="345101">
    <w:lvl>
      <w:numFmt w:val="bullet"/>
      <w:suff w:val="tab"/>
      <w:lvlText w:val="￮"/>
      <w:rPr>
        <w:color w:val="3370ff"/>
      </w:rPr>
    </w:lvl>
  </w:abstractNum>
  <w:abstractNum w:abstractNumId="345102">
    <w:lvl>
      <w:numFmt w:val="bullet"/>
      <w:suff w:val="tab"/>
      <w:lvlText w:val="•"/>
      <w:rPr>
        <w:color w:val="3370ff"/>
      </w:rPr>
    </w:lvl>
  </w:abstractNum>
  <w:abstractNum w:abstractNumId="345103">
    <w:lvl>
      <w:numFmt w:val="bullet"/>
      <w:suff w:val="tab"/>
      <w:lvlText w:val="￮"/>
      <w:rPr>
        <w:color w:val="3370ff"/>
      </w:rPr>
    </w:lvl>
  </w:abstractNum>
  <w:abstractNum w:abstractNumId="345104">
    <w:lvl>
      <w:numFmt w:val="bullet"/>
      <w:suff w:val="tab"/>
      <w:lvlText w:val="▪"/>
      <w:rPr>
        <w:color w:val="3370ff"/>
        <w:sz w:val="11"/>
      </w:rPr>
    </w:lvl>
  </w:abstractNum>
  <w:abstractNum w:abstractNumId="345105">
    <w:lvl>
      <w:numFmt w:val="bullet"/>
      <w:suff w:val="tab"/>
      <w:lvlText w:val="▪"/>
      <w:rPr>
        <w:color w:val="3370ff"/>
        <w:sz w:val="11"/>
      </w:rPr>
    </w:lvl>
  </w:abstractNum>
  <w:abstractNum w:abstractNumId="345106">
    <w:lvl>
      <w:numFmt w:val="bullet"/>
      <w:suff w:val="tab"/>
      <w:lvlText w:val="￮"/>
      <w:rPr>
        <w:color w:val="3370ff"/>
      </w:rPr>
    </w:lvl>
  </w:abstractNum>
  <w:abstractNum w:abstractNumId="345107">
    <w:lvl>
      <w:numFmt w:val="bullet"/>
      <w:suff w:val="tab"/>
      <w:lvlText w:val="▪"/>
      <w:rPr>
        <w:color w:val="3370ff"/>
        <w:sz w:val="11"/>
      </w:rPr>
    </w:lvl>
  </w:abstractNum>
  <w:abstractNum w:abstractNumId="345108">
    <w:lvl>
      <w:numFmt w:val="bullet"/>
      <w:suff w:val="tab"/>
      <w:lvlText w:val="▪"/>
      <w:rPr>
        <w:color w:val="3370ff"/>
        <w:sz w:val="11"/>
      </w:rPr>
    </w:lvl>
  </w:abstractNum>
  <w:abstractNum w:abstractNumId="345109">
    <w:lvl>
      <w:numFmt w:val="bullet"/>
      <w:suff w:val="tab"/>
      <w:lvlText w:val="￮"/>
      <w:rPr>
        <w:color w:val="3370ff"/>
      </w:rPr>
    </w:lvl>
  </w:abstractNum>
  <w:abstractNum w:abstractNumId="345110">
    <w:lvl>
      <w:numFmt w:val="bullet"/>
      <w:suff w:val="tab"/>
      <w:lvlText w:val="▪"/>
      <w:rPr>
        <w:color w:val="3370ff"/>
        <w:sz w:val="11"/>
      </w:rPr>
    </w:lvl>
  </w:abstractNum>
  <w:abstractNum w:abstractNumId="345111">
    <w:lvl>
      <w:numFmt w:val="bullet"/>
      <w:suff w:val="tab"/>
      <w:lvlText w:val="▪"/>
      <w:rPr>
        <w:color w:val="3370ff"/>
        <w:sz w:val="11"/>
      </w:rPr>
    </w:lvl>
  </w:abstractNum>
  <w:abstractNum w:abstractNumId="345112">
    <w:lvl>
      <w:numFmt w:val="bullet"/>
      <w:suff w:val="tab"/>
      <w:lvlText w:val="▪"/>
      <w:rPr>
        <w:color w:val="3370ff"/>
        <w:sz w:val="11"/>
      </w:rPr>
    </w:lvl>
  </w:abstractNum>
  <w:abstractNum w:abstractNumId="345113">
    <w:lvl>
      <w:numFmt w:val="bullet"/>
      <w:suff w:val="tab"/>
      <w:lvlText w:val="•"/>
      <w:rPr>
        <w:color w:val="3370ff"/>
      </w:rPr>
    </w:lvl>
  </w:abstractNum>
  <w:abstractNum w:abstractNumId="345114">
    <w:lvl>
      <w:numFmt w:val="bullet"/>
      <w:suff w:val="tab"/>
      <w:lvlText w:val="￮"/>
      <w:rPr>
        <w:color w:val="3370ff"/>
      </w:rPr>
    </w:lvl>
  </w:abstractNum>
  <w:abstractNum w:abstractNumId="345115">
    <w:lvl>
      <w:numFmt w:val="bullet"/>
      <w:suff w:val="tab"/>
      <w:lvlText w:val="▪"/>
      <w:rPr>
        <w:color w:val="3370ff"/>
        <w:sz w:val="11"/>
      </w:rPr>
    </w:lvl>
  </w:abstractNum>
  <w:abstractNum w:abstractNumId="345116">
    <w:lvl>
      <w:numFmt w:val="bullet"/>
      <w:suff w:val="tab"/>
      <w:lvlText w:val="▪"/>
      <w:rPr>
        <w:color w:val="3370ff"/>
        <w:sz w:val="11"/>
      </w:rPr>
    </w:lvl>
  </w:abstractNum>
  <w:abstractNum w:abstractNumId="345117">
    <w:lvl>
      <w:numFmt w:val="bullet"/>
      <w:suff w:val="tab"/>
      <w:lvlText w:val="￮"/>
      <w:rPr>
        <w:color w:val="3370ff"/>
      </w:rPr>
    </w:lvl>
  </w:abstractNum>
  <w:abstractNum w:abstractNumId="345118">
    <w:lvl>
      <w:numFmt w:val="bullet"/>
      <w:suff w:val="tab"/>
      <w:lvlText w:val="▪"/>
      <w:rPr>
        <w:color w:val="3370ff"/>
        <w:sz w:val="11"/>
      </w:rPr>
    </w:lvl>
  </w:abstractNum>
  <w:abstractNum w:abstractNumId="345119">
    <w:lvl>
      <w:numFmt w:val="bullet"/>
      <w:suff w:val="tab"/>
      <w:lvlText w:val="▪"/>
      <w:rPr>
        <w:color w:val="3370ff"/>
        <w:sz w:val="11"/>
      </w:rPr>
    </w:lvl>
  </w:abstractNum>
  <w:abstractNum w:abstractNumId="345120">
    <w:lvl>
      <w:numFmt w:val="bullet"/>
      <w:suff w:val="tab"/>
      <w:lvlText w:val="▪"/>
      <w:rPr>
        <w:color w:val="3370ff"/>
        <w:sz w:val="11"/>
      </w:rPr>
    </w:lvl>
  </w:abstractNum>
  <w:abstractNum w:abstractNumId="345121">
    <w:lvl>
      <w:numFmt w:val="bullet"/>
      <w:suff w:val="tab"/>
      <w:lvlText w:val="•"/>
      <w:rPr>
        <w:color w:val="3370ff"/>
      </w:rPr>
    </w:lvl>
  </w:abstractNum>
  <w:abstractNum w:abstractNumId="345122">
    <w:lvl>
      <w:numFmt w:val="bullet"/>
      <w:suff w:val="tab"/>
      <w:lvlText w:val="￮"/>
      <w:rPr>
        <w:color w:val="3370ff"/>
      </w:rPr>
    </w:lvl>
  </w:abstractNum>
  <w:abstractNum w:abstractNumId="345123">
    <w:lvl>
      <w:numFmt w:val="bullet"/>
      <w:suff w:val="tab"/>
      <w:lvlText w:val="￮"/>
      <w:rPr>
        <w:color w:val="3370ff"/>
      </w:rPr>
    </w:lvl>
  </w:abstractNum>
  <w:abstractNum w:abstractNumId="345124">
    <w:lvl>
      <w:numFmt w:val="bullet"/>
      <w:suff w:val="tab"/>
      <w:lvlText w:val="•"/>
      <w:rPr>
        <w:color w:val="3370ff"/>
      </w:rPr>
    </w:lvl>
  </w:abstractNum>
  <w:abstractNum w:abstractNumId="345125">
    <w:lvl>
      <w:numFmt w:val="bullet"/>
      <w:suff w:val="tab"/>
      <w:lvlText w:val="•"/>
      <w:rPr>
        <w:color w:val="3370ff"/>
      </w:rPr>
    </w:lvl>
  </w:abstractNum>
  <w:abstractNum w:abstractNumId="345126">
    <w:lvl>
      <w:numFmt w:val="bullet"/>
      <w:suff w:val="tab"/>
      <w:lvlText w:val="•"/>
      <w:rPr>
        <w:color w:val="3370ff"/>
      </w:rPr>
    </w:lvl>
  </w:abstractNum>
  <w:abstractNum w:abstractNumId="345127">
    <w:lvl>
      <w:numFmt w:val="bullet"/>
      <w:suff w:val="tab"/>
      <w:lvlText w:val="•"/>
      <w:rPr>
        <w:color w:val="3370ff"/>
      </w:rPr>
    </w:lvl>
  </w:abstractNum>
  <w:abstractNum w:abstractNumId="345128">
    <w:lvl>
      <w:numFmt w:val="bullet"/>
      <w:suff w:val="tab"/>
      <w:lvlText w:val="•"/>
      <w:rPr>
        <w:color w:val="3370ff"/>
      </w:rPr>
    </w:lvl>
  </w:abstractNum>
  <w:abstractNum w:abstractNumId="345129">
    <w:lvl>
      <w:numFmt w:val="bullet"/>
      <w:suff w:val="tab"/>
      <w:lvlText w:val="•"/>
      <w:rPr>
        <w:color w:val="3370ff"/>
      </w:rPr>
    </w:lvl>
  </w:abstractNum>
  <w:abstractNum w:abstractNumId="345130">
    <w:lvl>
      <w:numFmt w:val="bullet"/>
      <w:suff w:val="tab"/>
      <w:lvlText w:val="•"/>
      <w:rPr>
        <w:color w:val="3370ff"/>
      </w:rPr>
    </w:lvl>
  </w:abstractNum>
  <w:abstractNum w:abstractNumId="345131">
    <w:lvl>
      <w:numFmt w:val="bullet"/>
      <w:suff w:val="tab"/>
      <w:lvlText w:val="￮"/>
      <w:rPr>
        <w:color w:val="3370ff"/>
      </w:rPr>
    </w:lvl>
  </w:abstractNum>
  <w:num w:numId="1">
    <w:abstractNumId w:val="345087"/>
  </w:num>
  <w:num w:numId="2">
    <w:abstractNumId w:val="345088"/>
  </w:num>
  <w:num w:numId="3">
    <w:abstractNumId w:val="345089"/>
  </w:num>
  <w:num w:numId="4">
    <w:abstractNumId w:val="345090"/>
  </w:num>
  <w:num w:numId="5">
    <w:abstractNumId w:val="345091"/>
  </w:num>
  <w:num w:numId="6">
    <w:abstractNumId w:val="345092"/>
  </w:num>
  <w:num w:numId="7">
    <w:abstractNumId w:val="345093"/>
  </w:num>
  <w:num w:numId="8">
    <w:abstractNumId w:val="345094"/>
  </w:num>
  <w:num w:numId="9">
    <w:abstractNumId w:val="345095"/>
  </w:num>
  <w:num w:numId="10">
    <w:abstractNumId w:val="345096"/>
  </w:num>
  <w:num w:numId="11">
    <w:abstractNumId w:val="345097"/>
  </w:num>
  <w:num w:numId="12">
    <w:abstractNumId w:val="345098"/>
  </w:num>
  <w:num w:numId="13">
    <w:abstractNumId w:val="345099"/>
  </w:num>
  <w:num w:numId="14">
    <w:abstractNumId w:val="345100"/>
  </w:num>
  <w:num w:numId="15">
    <w:abstractNumId w:val="345101"/>
  </w:num>
  <w:num w:numId="16">
    <w:abstractNumId w:val="345102"/>
  </w:num>
  <w:num w:numId="17">
    <w:abstractNumId w:val="345103"/>
  </w:num>
  <w:num w:numId="18">
    <w:abstractNumId w:val="345104"/>
  </w:num>
  <w:num w:numId="19">
    <w:abstractNumId w:val="345105"/>
  </w:num>
  <w:num w:numId="20">
    <w:abstractNumId w:val="345106"/>
  </w:num>
  <w:num w:numId="21">
    <w:abstractNumId w:val="345107"/>
  </w:num>
  <w:num w:numId="22">
    <w:abstractNumId w:val="345108"/>
  </w:num>
  <w:num w:numId="23">
    <w:abstractNumId w:val="345109"/>
  </w:num>
  <w:num w:numId="24">
    <w:abstractNumId w:val="345110"/>
  </w:num>
  <w:num w:numId="25">
    <w:abstractNumId w:val="345111"/>
  </w:num>
  <w:num w:numId="26">
    <w:abstractNumId w:val="345112"/>
  </w:num>
  <w:num w:numId="27">
    <w:abstractNumId w:val="345113"/>
  </w:num>
  <w:num w:numId="28">
    <w:abstractNumId w:val="345114"/>
  </w:num>
  <w:num w:numId="29">
    <w:abstractNumId w:val="345115"/>
  </w:num>
  <w:num w:numId="30">
    <w:abstractNumId w:val="345116"/>
  </w:num>
  <w:num w:numId="31">
    <w:abstractNumId w:val="345117"/>
  </w:num>
  <w:num w:numId="32">
    <w:abstractNumId w:val="345118"/>
  </w:num>
  <w:num w:numId="33">
    <w:abstractNumId w:val="345119"/>
  </w:num>
  <w:num w:numId="34">
    <w:abstractNumId w:val="345120"/>
  </w:num>
  <w:num w:numId="35">
    <w:abstractNumId w:val="345121"/>
  </w:num>
  <w:num w:numId="36">
    <w:abstractNumId w:val="345122"/>
  </w:num>
  <w:num w:numId="37">
    <w:abstractNumId w:val="345123"/>
  </w:num>
  <w:num w:numId="38">
    <w:abstractNumId w:val="345124"/>
  </w:num>
  <w:num w:numId="39">
    <w:abstractNumId w:val="345125"/>
  </w:num>
  <w:num w:numId="40">
    <w:abstractNumId w:val="345126"/>
  </w:num>
  <w:num w:numId="41">
    <w:abstractNumId w:val="345127"/>
  </w:num>
  <w:num w:numId="42">
    <w:abstractNumId w:val="345128"/>
  </w:num>
  <w:num w:numId="43">
    <w:abstractNumId w:val="345129"/>
  </w:num>
  <w:num w:numId="44">
    <w:abstractNumId w:val="345130"/>
  </w:num>
  <w:num w:numId="45">
    <w:abstractNumId w:val="34513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hcnytq72r1ge.feishu.cn/minutes/obcnfo4864496n658l3u4744?t=1034000" TargetMode="External" Type="http://schemas.openxmlformats.org/officeDocument/2006/relationships/hyperlink"/><Relationship Id="rId11" Target="https://hcnytq72r1ge.feishu.cn/minutes/obcnfo4864496n658l3u4744?t=1130000" TargetMode="External" Type="http://schemas.openxmlformats.org/officeDocument/2006/relationships/hyperlink"/><Relationship Id="rId12" Target="https://hcnytq72r1ge.feishu.cn/minutes/obcnfo4864496n658l3u4744?t=1227000" TargetMode="External" Type="http://schemas.openxmlformats.org/officeDocument/2006/relationships/hyperlink"/><Relationship Id="rId13" Target="https://hcnytq72r1ge.feishu.cn/minutes/obcnfo4864496n658l3u4744?t=1263000" TargetMode="External" Type="http://schemas.openxmlformats.org/officeDocument/2006/relationships/hyperlink"/><Relationship Id="rId14" Target="https://hcnytq72r1ge.feishu.cn/minutes/obcnfo4864496n658l3u4744?t=1310000" TargetMode="External" Type="http://schemas.openxmlformats.org/officeDocument/2006/relationships/hyperlink"/><Relationship Id="rId15" Target="https://hcnytq72r1ge.feishu.cn/minutes/obcnfo4864496n658l3u4744?t=1347000" TargetMode="External" Type="http://schemas.openxmlformats.org/officeDocument/2006/relationships/hyperlink"/><Relationship Id="rId16" Target="https://hcnytq72r1ge.feishu.cn/minutes/obcnfo4864496n658l3u4744?t=1456000" TargetMode="External" Type="http://schemas.openxmlformats.org/officeDocument/2006/relationships/hyperlink"/><Relationship Id="rId17" Target="https://hcnytq72r1ge.feishu.cn/minutes/obcnfo4864496n658l3u4744?from=ai_minutes" TargetMode="External" Type="http://schemas.openxmlformats.org/officeDocument/2006/relationships/hyperlink"/><Relationship Id="rId18" Target="https://hcnytq72r1ge.feishu.cn/docx/JdFfdQ8cAouiOdxZjIpctymVnkc" TargetMode="External" Type="http://schemas.openxmlformats.org/officeDocument/2006/relationships/hyperlink"/><Relationship Id="rId19"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media/image3.png" Type="http://schemas.openxmlformats.org/officeDocument/2006/relationships/image"/><Relationship Id="rId8" Target="https://hcnytq72r1ge.feishu.cn/minutes/obcnfo4864496n658l3u4744?t=2000" TargetMode="External" Type="http://schemas.openxmlformats.org/officeDocument/2006/relationships/hyperlink"/><Relationship Id="rId9" Target="https://hcnytq72r1ge.feishu.cn/minutes/obcnfo4864496n658l3u4744?t=214000"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2026-01-26T08:17:28Z</dcterms:created>
  <dc:creator>Apache POI</dc:creator>
</cp:coreProperties>
</file>