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智能纪要：1. DISC深度学习(先导课) 2026年1月22日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会议主题：1. DISC深度学习(先导课)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上传时间：1月22号（周四） 22:30 （GMT+08）</w:t>
            </w:r>
          </w:p>
        </w:tc>
      </w:tr>
    </w:tbl>
    <w:p/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智能纪要由 AI 生成，可能不准确，请谨慎甄别后使用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总结</w:t>
      </w:r>
      <w:bookmarkEnd w:id="0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97167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本次会议介绍了道全能学业规划师中级课程，聚焦 DISC 工具的使用与报告解读。课程学习分四个周期，对学员学习提出具体要求。内容如下：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课程总体介绍</w:t>
      </w:r>
    </w:p>
    <w:p>
      <w:pPr>
        <w:numPr>
          <w:numId w:val="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课程核心</w:t>
      </w:r>
    </w:p>
    <w:p>
      <w:pPr>
        <w:numPr>
          <w:numId w:val="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工具重要性：DISC 工具在学业规划过程中使用场景最多、频率最高，要求每位学业规划师必须掌握。</w:t>
      </w:r>
    </w:p>
    <w:p>
      <w:pPr>
        <w:numPr>
          <w:numId w:val="4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学习要求：因课程为录播课，互动少，学员遇到需思考处可暂停课程进行内部互动。课程知识多，讲师会放慢语速、讲得仔细，学员要认真学习、记笔记、完成作业。</w:t>
      </w:r>
    </w:p>
    <w:p>
      <w:pPr>
        <w:numPr>
          <w:numId w:val="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学习周期规划</w:t>
      </w:r>
    </w:p>
    <w:p>
      <w:pPr>
        <w:numPr>
          <w:numId w:val="6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第一周期：认识测评工具，包括 DISC 工具具体内容、与 MBTI 等测评的区别，了解市面上公认好的工具的样子，以及学习 DISC 精髓的方法，此环节较轻松，旨在让学员有基本了解。</w:t>
      </w:r>
    </w:p>
    <w:p>
      <w:pPr>
        <w:numPr>
          <w:numId w:val="7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第二周期：深度学习 DISC 知识点，此环节知识点多、篇幅长。学员要做好笔记，若某章节没听懂可再听一遍，确保当前章节听懂后再进入下一章节。学习内容包括 DISC 基本理论、四个字母含义、报告图形解读、服务客户流程、报告解读流程等。</w:t>
      </w:r>
    </w:p>
    <w:p>
      <w:pPr>
        <w:numPr>
          <w:numId w:val="8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第三周期：学习 DISC 在各个场景的使用，如孩子教育场景、家长夫妻关系与家庭教育环境、与家长交流话题、职业规划、不同性格人群购物场景及服务方式等，相比上一环节较轻松。</w:t>
      </w:r>
    </w:p>
    <w:p>
      <w:pPr>
        <w:numPr>
          <w:numId w:val="9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第四周期：进入收获期，讲师会告知学员通过中级认证需达到的水平及认证过程。</w:t>
      </w:r>
    </w:p>
    <w:p>
      <w:pPr>
        <w:spacing w:before="120" w:after="120" w:line="288" w:lineRule="auto"/>
        <w:ind w:left="907"/>
        <w:jc w:val="center"/>
      </w:pPr>
      <w:r>
        <w:drawing>
          <wp:inline distT="0" distR="0" distB="0" distL="0">
            <wp:extent cx="5257800" cy="1400175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907"/>
        <w:jc w:val="center"/>
      </w:pPr>
      <w:r>
        <w:rPr>
          <w:rFonts w:eastAsia="等线" w:ascii="Arial" w:cs="Arial" w:hAnsi="Arial"/>
          <w:color w:val="8F959E"/>
          <w:sz w:val="22"/>
        </w:rPr>
        <w:t>DISC工具课程学习周期规划</w:t>
        <w:br/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智能章节</w:t>
      </w:r>
      <w:bookmarkEnd w:id="1"/>
    </w:p>
    <w:p>
      <w:pPr>
        <w:spacing w:before="120" w:after="120" w:line="288" w:lineRule="auto"/>
        <w:ind w:left="0"/>
        <w:jc w:val="left"/>
      </w:pPr>
      <w:hyperlink r:id="rId7">
        <w:r>
          <w:rPr>
            <w:rFonts w:eastAsia="等线" w:ascii="Arial" w:cs="Arial" w:hAnsi="Arial"/>
            <w:color w:val="3370ff"/>
            <w:sz w:val="22"/>
          </w:rPr>
          <w:t>00:06</w:t>
        </w:r>
      </w:hyperlink>
      <w:r>
        <w:rPr>
          <w:rFonts w:eastAsia="等线" w:ascii="Arial" w:cs="Arial" w:hAnsi="Arial"/>
          <w:b w:val="true"/>
          <w:sz w:val="22"/>
        </w:rPr>
        <w:t xml:space="preserve">  中级课程学DISC工具使用及报告解读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中说话人1欢迎各位老师加入道全能学业规划师，介绍本次为中级课程，主要学习DISC工具的具体使用及拿到报告后的深度解读。强调DISC工具在学业规划过程中使用场景最多、频率最高，要求每位学业规划师都要很好地掌握该工具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8">
        <w:r>
          <w:rPr>
            <w:rFonts w:eastAsia="等线" w:ascii="Arial" w:cs="Arial" w:hAnsi="Arial"/>
            <w:color w:val="3370ff"/>
            <w:sz w:val="22"/>
          </w:rPr>
          <w:t>00:44</w:t>
        </w:r>
      </w:hyperlink>
      <w:r>
        <w:rPr>
          <w:rFonts w:eastAsia="等线" w:ascii="Arial" w:cs="Arial" w:hAnsi="Arial"/>
          <w:b w:val="true"/>
          <w:sz w:val="22"/>
        </w:rPr>
        <w:t xml:space="preserve">  录播课学习要求、互动建议及讲解安排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说话人1提醒有Disco相关学习经验的老师，此次培训虽为录播课，但内容丰富，线下开课需2 - 3天且费用高，要求老师学习时认真记笔记、完成作业。考虑到录播课互动少，可适时暂停内部小互动，同时说话人会放慢语速、讲得更仔细，便于大家掌握知识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9">
        <w:r>
          <w:rPr>
            <w:rFonts w:eastAsia="等线" w:ascii="Arial" w:cs="Arial" w:hAnsi="Arial"/>
            <w:color w:val="3370ff"/>
            <w:sz w:val="22"/>
          </w:rPr>
          <w:t>02:04</w:t>
        </w:r>
      </w:hyperlink>
      <w:r>
        <w:rPr>
          <w:rFonts w:eastAsia="等线" w:ascii="Arial" w:cs="Arial" w:hAnsi="Arial"/>
          <w:b w:val="true"/>
          <w:sz w:val="22"/>
        </w:rPr>
        <w:t xml:space="preserve">  四个周期学习安排：DISC 基础与深度知识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本章节介绍接下来学习将经历四个周期。第一个周期主要认识测评工具，了解 DISC 工具具体内容、它与 MBTI 等测评的区别，知晓公认好工具的样子，掌握快速学习 DISC 精髓的方法，此环节较轻松，旨在让大家有基本了解；第二个周期将深度学习 DISC 知识点，内容较多。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0">
        <w:r>
          <w:rPr>
            <w:rFonts w:eastAsia="等线" w:ascii="Arial" w:cs="Arial" w:hAnsi="Arial"/>
            <w:color w:val="3370ff"/>
            <w:sz w:val="22"/>
          </w:rPr>
          <w:t>03:22</w:t>
        </w:r>
      </w:hyperlink>
      <w:r>
        <w:rPr>
          <w:rFonts w:eastAsia="等线" w:ascii="Arial" w:cs="Arial" w:hAnsi="Arial"/>
          <w:b w:val="true"/>
          <w:sz w:val="22"/>
        </w:rPr>
        <w:t xml:space="preserve">  最长培训环节内容、学习要求及知识点介绍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本章节是培训中篇幅最长、知识点最多的部分。在此过程中，建议大家做好笔记，若某章节没听懂可再听一遍，确保理解后再进入下一章节。本章节将学习 DISC 基本理论、四个字母具体意思，还会涉及看懂报告图形、解读顺序、服务客户流程以及报告解读流程等内容。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1">
        <w:r>
          <w:rPr>
            <w:rFonts w:eastAsia="等线" w:ascii="Arial" w:cs="Arial" w:hAnsi="Arial"/>
            <w:color w:val="3370ff"/>
            <w:sz w:val="22"/>
          </w:rPr>
          <w:t>04:28</w:t>
        </w:r>
      </w:hyperlink>
      <w:r>
        <w:rPr>
          <w:rFonts w:eastAsia="等线" w:ascii="Arial" w:cs="Arial" w:hAnsi="Arial"/>
          <w:b w:val="true"/>
          <w:sz w:val="22"/>
        </w:rPr>
        <w:t xml:space="preserve">  下一周期场景应用及最后周期认证介绍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介绍了后续两个周期的内容。下一个周期会讲解各场景的使用，包括孩子教育、家庭环境，还会提供与家长交流的话题，如职业规划、不同性格的购物场景和服务方式，此环节对老师而言较轻松。最后一个周期是收获期，会说明通过终极认证需达到的水平及认证过程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关键决策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本次会议为分享类会议，无关键决策。会议关键内容总结如下：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课程介绍</w:t>
      </w:r>
      <w:r>
        <w:rPr>
          <w:rFonts w:eastAsia="等线" w:ascii="Arial" w:cs="Arial" w:hAnsi="Arial"/>
          <w:sz w:val="22"/>
        </w:rPr>
        <w:t>：本次是中级课程，学习 DISC 工具的使用和报告解读，该工具在学业规划中使用场景多、频率高，要求规划师掌握。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学习要求</w:t>
      </w:r>
      <w:r>
        <w:rPr>
          <w:rFonts w:eastAsia="等线" w:ascii="Arial" w:cs="Arial" w:hAnsi="Arial"/>
          <w:sz w:val="22"/>
        </w:rPr>
        <w:t>：课程是录播，学习中可暂停互动，老师会放慢语速、讲得仔细，要求学员认真学习、记笔记、完成作业。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学习周期</w:t>
      </w:r>
      <w:r>
        <w:rPr>
          <w:rFonts w:eastAsia="等线" w:ascii="Arial" w:cs="Arial" w:hAnsi="Arial"/>
          <w:sz w:val="22"/>
        </w:rPr>
        <w:t>：学习分四个周期，分别是认识测评工具和 DISC 工具、深度学习 DISC 知识点、学习 DISC 在各场景的使用、了解中级认证相关内容。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b w:val="true"/>
          <w:sz w:val="36"/>
        </w:rPr>
        <w:t>金句时刻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「DISC 工具在整个学业规划过程中，是使用场景最多、频率最高的工具。」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—— </w:t>
      </w:r>
      <w:r>
        <w:rPr>
          <w:rFonts w:eastAsia="等线" w:ascii="Arial" w:cs="Arial" w:hAnsi="Arial"/>
          <w:b w:val="true"/>
          <w:sz w:val="22"/>
        </w:rPr>
        <w:t>说话人 1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  <w:t>突出了 DISC 工具在学业规划中的重要地位，让学员明确学习重点。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「第一个学习周期相对轻松，主要是让大家对测评工具和 DISC 工具有基本的了解。」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—— </w:t>
      </w:r>
      <w:r>
        <w:rPr>
          <w:rFonts w:eastAsia="等线" w:ascii="Arial" w:cs="Arial" w:hAnsi="Arial"/>
          <w:b w:val="true"/>
          <w:sz w:val="22"/>
        </w:rPr>
        <w:t>说话人 1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  <w:t>清晰地说明了第一个学习周期的特点和目标，帮助学员合理安排学习。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「最后一个周期是收获期，会告诉大家如何通过中级认证，以及认证的过程。」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—— </w:t>
      </w:r>
      <w:r>
        <w:rPr>
          <w:rFonts w:eastAsia="等线" w:ascii="Arial" w:cs="Arial" w:hAnsi="Arial"/>
          <w:b w:val="true"/>
          <w:sz w:val="22"/>
        </w:rPr>
        <w:t>说话人 1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  <w:t>明确了最后一个学习周期的核心内容，让学员对学习成果有清晰的预期。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" w:id="4"/>
      <w:r>
        <w:rPr>
          <w:rFonts w:eastAsia="等线" w:ascii="Arial" w:cs="Arial" w:hAnsi="Arial"/>
          <w:b w:val="true"/>
          <w:sz w:val="36"/>
        </w:rPr>
        <w:t>相关链接</w:t>
      </w:r>
      <w:bookmarkEnd w:id="4"/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妙记：</w:t>
      </w:r>
      <w:hyperlink r:id="rId12">
        <w:r>
          <w:rPr>
            <w:rFonts w:eastAsia="等线" w:ascii="Arial" w:cs="Arial" w:hAnsi="Arial"/>
            <w:color w:val="3370ff"/>
            <w:sz w:val="22"/>
          </w:rPr>
          <w:t>1. DISC深度学习(先导课)</w:t>
        </w:r>
      </w:hyperlink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文字记录</w:t>
      </w:r>
    </w:p>
    <w:p>
      <w:pPr>
        <w:numPr>
          <w:numId w:val="15"/>
        </w:numPr>
        <w:spacing w:before="120" w:after="120" w:line="288" w:lineRule="auto"/>
        <w:ind w:left="453"/>
        <w:jc w:val="left"/>
      </w:pPr>
      <w:hyperlink r:id="rId13">
        <w:r>
          <w:rPr>
            <w:rFonts w:eastAsia="等线" w:ascii="Arial" w:cs="Arial" w:hAnsi="Arial"/>
            <w:color w:val="3370ff"/>
            <w:sz w:val="22"/>
          </w:rPr>
          <w:t>1. DISC深度学习(先导课) 2026年1月22日</w:t>
        </w:r>
      </w:hyperlink>
    </w:p>
    <w:sectPr>
      <w:footerReference w:type="default" r:id="rId3"/>
      <w:headerReference w:type="default" r:id="rId1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2387">
    <w:lvl>
      <w:numFmt w:val="bullet"/>
      <w:suff w:val="tab"/>
      <w:lvlText w:val="•"/>
      <w:rPr>
        <w:color w:val="3370ff"/>
      </w:rPr>
    </w:lvl>
  </w:abstractNum>
  <w:abstractNum w:abstractNumId="12388">
    <w:lvl>
      <w:numFmt w:val="bullet"/>
      <w:suff w:val="tab"/>
      <w:lvlText w:val="￮"/>
      <w:rPr>
        <w:color w:val="3370ff"/>
      </w:rPr>
    </w:lvl>
  </w:abstractNum>
  <w:abstractNum w:abstractNumId="12389">
    <w:lvl>
      <w:numFmt w:val="bullet"/>
      <w:suff w:val="tab"/>
      <w:lvlText w:val="▪"/>
      <w:rPr>
        <w:color w:val="3370ff"/>
        <w:sz w:val="11"/>
      </w:rPr>
    </w:lvl>
  </w:abstractNum>
  <w:abstractNum w:abstractNumId="12390">
    <w:lvl>
      <w:numFmt w:val="bullet"/>
      <w:suff w:val="tab"/>
      <w:lvlText w:val="▪"/>
      <w:rPr>
        <w:color w:val="3370ff"/>
        <w:sz w:val="11"/>
      </w:rPr>
    </w:lvl>
  </w:abstractNum>
  <w:abstractNum w:abstractNumId="12391">
    <w:lvl>
      <w:numFmt w:val="bullet"/>
      <w:suff w:val="tab"/>
      <w:lvlText w:val="￮"/>
      <w:rPr>
        <w:color w:val="3370ff"/>
      </w:rPr>
    </w:lvl>
  </w:abstractNum>
  <w:abstractNum w:abstractNumId="12392">
    <w:lvl>
      <w:numFmt w:val="bullet"/>
      <w:suff w:val="tab"/>
      <w:lvlText w:val="▪"/>
      <w:rPr>
        <w:color w:val="3370ff"/>
        <w:sz w:val="11"/>
      </w:rPr>
    </w:lvl>
  </w:abstractNum>
  <w:abstractNum w:abstractNumId="12393">
    <w:lvl>
      <w:numFmt w:val="bullet"/>
      <w:suff w:val="tab"/>
      <w:lvlText w:val="▪"/>
      <w:rPr>
        <w:color w:val="3370ff"/>
        <w:sz w:val="11"/>
      </w:rPr>
    </w:lvl>
  </w:abstractNum>
  <w:abstractNum w:abstractNumId="12394">
    <w:lvl>
      <w:numFmt w:val="bullet"/>
      <w:suff w:val="tab"/>
      <w:lvlText w:val="▪"/>
      <w:rPr>
        <w:color w:val="3370ff"/>
        <w:sz w:val="11"/>
      </w:rPr>
    </w:lvl>
  </w:abstractNum>
  <w:abstractNum w:abstractNumId="12395">
    <w:lvl>
      <w:numFmt w:val="bullet"/>
      <w:suff w:val="tab"/>
      <w:lvlText w:val="▪"/>
      <w:rPr>
        <w:color w:val="3370ff"/>
        <w:sz w:val="11"/>
      </w:rPr>
    </w:lvl>
  </w:abstractNum>
  <w:abstractNum w:abstractNumId="12396">
    <w:lvl>
      <w:numFmt w:val="bullet"/>
      <w:suff w:val="tab"/>
      <w:lvlText w:val="•"/>
      <w:rPr>
        <w:color w:val="3370ff"/>
      </w:rPr>
    </w:lvl>
  </w:abstractNum>
  <w:abstractNum w:abstractNumId="12397">
    <w:lvl>
      <w:numFmt w:val="bullet"/>
      <w:suff w:val="tab"/>
      <w:lvlText w:val="•"/>
      <w:rPr>
        <w:color w:val="3370ff"/>
      </w:rPr>
    </w:lvl>
  </w:abstractNum>
  <w:abstractNum w:abstractNumId="12398">
    <w:lvl>
      <w:numFmt w:val="bullet"/>
      <w:suff w:val="tab"/>
      <w:lvlText w:val="•"/>
      <w:rPr>
        <w:color w:val="3370ff"/>
      </w:rPr>
    </w:lvl>
  </w:abstractNum>
  <w:abstractNum w:abstractNumId="12399">
    <w:lvl>
      <w:numFmt w:val="bullet"/>
      <w:suff w:val="tab"/>
      <w:lvlText w:val="•"/>
      <w:rPr>
        <w:color w:val="3370ff"/>
      </w:rPr>
    </w:lvl>
  </w:abstractNum>
  <w:abstractNum w:abstractNumId="12400">
    <w:lvl>
      <w:numFmt w:val="bullet"/>
      <w:suff w:val="tab"/>
      <w:lvlText w:val="•"/>
      <w:rPr>
        <w:color w:val="3370ff"/>
      </w:rPr>
    </w:lvl>
  </w:abstractNum>
  <w:abstractNum w:abstractNumId="12401">
    <w:lvl>
      <w:numFmt w:val="bullet"/>
      <w:suff w:val="tab"/>
      <w:lvlText w:val="￮"/>
      <w:rPr>
        <w:color w:val="3370ff"/>
      </w:rPr>
    </w:lvl>
  </w:abstractNum>
  <w:num w:numId="1">
    <w:abstractNumId w:val="12387"/>
  </w:num>
  <w:num w:numId="2">
    <w:abstractNumId w:val="12388"/>
  </w:num>
  <w:num w:numId="3">
    <w:abstractNumId w:val="12389"/>
  </w:num>
  <w:num w:numId="4">
    <w:abstractNumId w:val="12390"/>
  </w:num>
  <w:num w:numId="5">
    <w:abstractNumId w:val="12391"/>
  </w:num>
  <w:num w:numId="6">
    <w:abstractNumId w:val="12392"/>
  </w:num>
  <w:num w:numId="7">
    <w:abstractNumId w:val="12393"/>
  </w:num>
  <w:num w:numId="8">
    <w:abstractNumId w:val="12394"/>
  </w:num>
  <w:num w:numId="9">
    <w:abstractNumId w:val="12395"/>
  </w:num>
  <w:num w:numId="10">
    <w:abstractNumId w:val="12396"/>
  </w:num>
  <w:num w:numId="11">
    <w:abstractNumId w:val="12397"/>
  </w:num>
  <w:num w:numId="12">
    <w:abstractNumId w:val="12398"/>
  </w:num>
  <w:num w:numId="13">
    <w:abstractNumId w:val="12399"/>
  </w:num>
  <w:num w:numId="14">
    <w:abstractNumId w:val="12400"/>
  </w:num>
  <w:num w:numId="15">
    <w:abstractNumId w:val="12401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https://hcnytq72r1ge.feishu.cn/minutes/obcnfov268ibqu259r52t6kg?t=202000" TargetMode="External" Type="http://schemas.openxmlformats.org/officeDocument/2006/relationships/hyperlink"/><Relationship Id="rId11" Target="https://hcnytq72r1ge.feishu.cn/minutes/obcnfov268ibqu259r52t6kg?t=268000" TargetMode="External" Type="http://schemas.openxmlformats.org/officeDocument/2006/relationships/hyperlink"/><Relationship Id="rId12" Target="https://hcnytq72r1ge.feishu.cn/minutes/obcnfov268ibqu259r52t6kg?from=ai_minutes" TargetMode="External" Type="http://schemas.openxmlformats.org/officeDocument/2006/relationships/hyperlink"/><Relationship Id="rId13" Target="https://hcnytq72r1ge.feishu.cn/docx/B4lzdzuzYoNgY8xkzx7cSdkTnaf" TargetMode="External" Type="http://schemas.openxmlformats.org/officeDocument/2006/relationships/hyperlink"/><Relationship Id="rId14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jpeg" Type="http://schemas.openxmlformats.org/officeDocument/2006/relationships/image"/><Relationship Id="rId5" Target="numbering.xml" Type="http://schemas.openxmlformats.org/officeDocument/2006/relationships/numbering"/><Relationship Id="rId6" Target="media/image2.png" Type="http://schemas.openxmlformats.org/officeDocument/2006/relationships/image"/><Relationship Id="rId7" Target="https://hcnytq72r1ge.feishu.cn/minutes/obcnfov268ibqu259r52t6kg?t=6000" TargetMode="External" Type="http://schemas.openxmlformats.org/officeDocument/2006/relationships/hyperlink"/><Relationship Id="rId8" Target="https://hcnytq72r1ge.feishu.cn/minutes/obcnfov268ibqu259r52t6kg?t=44000" TargetMode="External" Type="http://schemas.openxmlformats.org/officeDocument/2006/relationships/hyperlink"/><Relationship Id="rId9" Target="https://hcnytq72r1ge.feishu.cn/minutes/obcnfov268ibqu259r52t6kg?t=124000" TargetMode="External" Type="http://schemas.openxmlformats.org/officeDocument/2006/relationships/hyperlink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2026-01-26T11:33:17Z</dcterms:created>
  <dc:creator>Apache POI</dc:creator>
</cp:coreProperties>
</file>