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智能纪要：10. 了解与DISC相关的术语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会议主题：10. 了解与DISC相关的术语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22:46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289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 DISC 相关术语展开学习，介绍了四个因子、三副图、两个位置、两个区域等概念，阐述了 DISC 测评中压力的含义和作用，以及图形解读的要点和方法，内容如下：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DISC 相关术语学习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802"/>
        <w:gridCol w:w="662"/>
        <w:gridCol w:w="2152"/>
        <w:gridCol w:w="662"/>
      </w:tblGrid>
      <w:tr>
        <w:tc>
          <w:tcPr>
            <w:tcW w:w="480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四个因子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因子与动物对应：说话人 1 提出，DISC 的四个因子可用四种动物代表，D 对应老虎，I 对应孔雀，S 对应考拉，C 对应猫头鹰。在与家长解读时，追求专业性高的家长可用四个因子表述，普通家长可用四个动物表述。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因子记忆要求：要求学习者记住因子与动物的对应关系，在后续讲解中能快速反应，如提到老虎型能想到是 D 因子。</w:t>
            </w:r>
          </w:p>
        </w:tc>
        <w:tc>
          <w:tcPr>
            <w:tcW w:w="66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5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09675" cy="153352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DISC四个因子与动物对应关系</w:t>
              <w:br/>
            </w:r>
          </w:p>
        </w:tc>
        <w:tc>
          <w:tcPr>
            <w:tcW w:w="66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三副图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554"/>
        <w:gridCol w:w="3726"/>
      </w:tblGrid>
      <w:tr>
        <w:tc>
          <w:tcPr>
            <w:tcW w:w="455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真实的我：指三我理论中的自我，代表对方当前行为偏好，是融入环境后调整出的样子。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工作中的我：对应三我理论中的超我，是为适应环境做出的调整。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压力下的我：倾向于三我理论中的本我，是在极大压力下爆发的情绪和行为表现，更本能。报告中会展示压力源，这是专业版 DISC 独有的内容。</w:t>
            </w:r>
          </w:p>
        </w:tc>
        <w:tc>
          <w:tcPr>
            <w:tcW w:w="372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209800" cy="91440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DISC测评三副图含义对比</w:t>
              <w:br/>
            </w:r>
          </w:p>
        </w:tc>
      </w:tr>
    </w:tbl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两个位置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高位：报告中线以上位置为高位，图形命名基于高位动物，哪个位置高先以其命名。高位可了解人的明显特征、消极因素和激励方式。例如孔雀喜欢被夸，若被骂可能会回避或吵架。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低位：中线以下为低位，低位动物图形不展示，只显示两个点。低位不代表劣势，只是行为特征不明显，不代表没有该特征就是缺点。支持性因素用于加强高位特征，只出现在真实的我这幅图中。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两个区域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情绪极端反应区：因子离中线越远，强度加强，在该区域会有极端反应。如极端情绪反应区的孔雀，被批评时会有强烈敌对情绪。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压抑蜷缩区：中位线上下有淡淡的灰色线区域，处于该区域的人特征不明显，个性不张扬。市面上的 DISC 工具没有这两个区域的划分，掌握这两个区域的解读能提升专业性。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DISC 测评中压力的理解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压力的作用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衡量标准：说话人 1 认为，DISC 里面的压力像一把尺子，可衡量谁的压力更大以及压力是否对人造成影响。不同人的抗压性不同，有些压力可自我调试，极少部分人需要寻求指导或帮助。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压力的定义：从医学和心理学角度，压力分为压力源、压力反应和减压方法。报告中会展示压力源，如工作、人际关系等；压力反应包括紧张、焦虑、抑郁等；减压方法有运动、冥想、呼吸练习等。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压力的应对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正确态度：应接受和调节压力，而非忽略或逃避。若长期压抑，可能会产生心理疾病。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压力的积极意义：压力可激励人前进，推动寻找更好的解决方法，促进个人和社会发展。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后续学习安排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学习阶段规划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单独类型学习：接下来会先学习 DISC 四个类型单独存在时的情况。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混合特征学习：后续会学习出现两个、三个特征混合以及在不同场景下的解读方法。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学习资料差异</w:t>
      </w:r>
      <w:r>
        <w:rPr>
          <w:rFonts w:eastAsia="等线" w:ascii="Arial" w:cs="Arial" w:hAnsi="Arial"/>
          <w:sz w:val="22"/>
        </w:rPr>
        <w:t>：市面上的 DISC 书和视频大多只解释单一高位因素，很少涉及多种特质组合的情况。而本次学习将全面涵盖各种组合的解读。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00:06</w:t>
        </w:r>
      </w:hyperlink>
      <w:r>
        <w:rPr>
          <w:rFonts w:eastAsia="等线" w:ascii="Arial" w:cs="Arial" w:hAnsi="Arial"/>
          <w:b w:val="true"/>
          <w:sz w:val="22"/>
        </w:rPr>
        <w:t xml:space="preserve">  DISC术语学习：四个因子与对应动物介绍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进入DISC相关术语学习，强调打好基础重要性。首先要记住四个因子，可用四个动物理解，即D对应老虎、I对应孔雀、S对应考拉、C对应猫头鹰，要能在动物类型和字母间灵活反应。跟家长解读时，追求专业性高的家长说“四个因子”更显专业，不同家长喜好有别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01:27</w:t>
        </w:r>
      </w:hyperlink>
      <w:r>
        <w:rPr>
          <w:rFonts w:eastAsia="等线" w:ascii="Arial" w:cs="Arial" w:hAnsi="Arial"/>
          <w:b w:val="true"/>
          <w:sz w:val="22"/>
        </w:rPr>
        <w:t xml:space="preserve">  报告三幅图含义：真实的我与工作中的我解读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报告中的“三副图”相关术语。首先提到“真实的我”，类似于“三我理论”里的自我，既指自身，也指对方融入环境后调整出的当前行为偏好；还提到“工作中的我”，它指的是超我，是为适应环境所做出调整后的样子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02:21</w:t>
        </w:r>
      </w:hyperlink>
      <w:r>
        <w:rPr>
          <w:rFonts w:eastAsia="等线" w:ascii="Arial" w:cs="Arial" w:hAnsi="Arial"/>
          <w:b w:val="true"/>
          <w:sz w:val="22"/>
        </w:rPr>
        <w:t xml:space="preserve">  DISC测评中压力下的我及压力衡量意义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DISC测评中的“压力下的我”展开。指出其更倾向于本能反应，类似三我理论里的本我。介绍压力来源在专业版DISC中是独有的，测评中的压力指重压下急促迅猛的情况。还提到压力像尺子可衡量，多数压力可自我调试，极少数人需寻求指导或帮助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06:30</w:t>
        </w:r>
      </w:hyperlink>
      <w:r>
        <w:rPr>
          <w:rFonts w:eastAsia="等线" w:ascii="Arial" w:cs="Arial" w:hAnsi="Arial"/>
          <w:b w:val="true"/>
          <w:sz w:val="22"/>
        </w:rPr>
        <w:t xml:space="preserve">  心理学中压力的定义、分类及报告展示内容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心理学中压力从医学和心理学角度的定义，包括压力源、压力反应和减压方法。压力源是导致压力的原因，如工作、人际关系，报告中会展示其来源；压力反应是身体对压力源的反应，如紧张、焦虑、抑郁等，报告后面高手读图形环节会讲解应对压力源时的反应情况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07:28</w:t>
        </w:r>
      </w:hyperlink>
      <w:r>
        <w:rPr>
          <w:rFonts w:eastAsia="等线" w:ascii="Arial" w:cs="Arial" w:hAnsi="Arial"/>
          <w:b w:val="true"/>
          <w:sz w:val="22"/>
        </w:rPr>
        <w:t xml:space="preserve">  减压方法及正确面对压力的方式探讨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减压方法，属于解决层面问题，提及运动、冥想、呼吸练习等技巧策略。指出压力虽可能带来负面情绪，但也能激励人前进、推动寻找解决方法，助力个人与社会发展。强调面对压力更好的方式是接受和调节，而非忽略或逃避，还提及若不如此可能导致自我太压抑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08:29</w:t>
        </w:r>
      </w:hyperlink>
      <w:r>
        <w:rPr>
          <w:rFonts w:eastAsia="等线" w:ascii="Arial" w:cs="Arial" w:hAnsi="Arial"/>
          <w:b w:val="true"/>
          <w:sz w:val="22"/>
        </w:rPr>
        <w:t xml:space="preserve">  图形高低位置划分及命名规则介绍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接下来内容很重要且后续会反复出现，介绍图形的两个位置。一是高位，图形中线以上位置为高位，图形命名基于动物在高位情况，哪个位置高就先以此起名；二是低位，中位线以下为低位，处于此位置动物图形不展示，会变成两个点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10:45</w:t>
        </w:r>
      </w:hyperlink>
      <w:r>
        <w:rPr>
          <w:rFonts w:eastAsia="等线" w:ascii="Arial" w:cs="Arial" w:hAnsi="Arial"/>
          <w:b w:val="true"/>
          <w:sz w:val="22"/>
        </w:rPr>
        <w:t xml:space="preserve">  高低位行为特征、消极因素及激励方式解读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在高位和低位能获取的信息。高位方面，需了解特定类型人的明显行为表现、消极因素（即不喜欢的东西及阻碍优势发挥的因素）和激励方式，还以孔雀为例说明。低位并非指负面行为和劣势，仅表示行为特征不明显，提醒大家不要随意贴标签，如老虎在低位特征相对没那么显著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13:03</w:t>
        </w:r>
      </w:hyperlink>
      <w:r>
        <w:rPr>
          <w:rFonts w:eastAsia="等线" w:ascii="Arial" w:cs="Arial" w:hAnsi="Arial"/>
          <w:b w:val="true"/>
          <w:sz w:val="22"/>
        </w:rPr>
        <w:t xml:space="preserve">  DISC报告支持性因素及类型学习介绍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支持性因素，它用于加强高位特征，仅出现在“真实的我”图中。通过冰山图举例帮助理解，还指出市面上DISC书籍和视频多解释单一高位特质，很少涉及特质组合情况。后续将带领大家由浅入深学习DISC四个类型，先学单独类型，再学特征混合及不同场景下的解读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16:49</w:t>
        </w:r>
      </w:hyperlink>
      <w:r>
        <w:rPr>
          <w:rFonts w:eastAsia="等线" w:ascii="Arial" w:cs="Arial" w:hAnsi="Arial"/>
          <w:b w:val="true"/>
          <w:sz w:val="22"/>
        </w:rPr>
        <w:t xml:space="preserve">  讲解术语中情绪极端反应区相关内容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术语中的两个区域，即情绪极端反应区和压抑蜷缩区。讲解了PPT中“强度”一词，指出因子离中线越远强度越强，以孔雀型为例，不同位置的孔雀在情绪极端反应区表现出的强度和特征不同，该区域会有极端反应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18:03</w:t>
        </w:r>
      </w:hyperlink>
      <w:r>
        <w:rPr>
          <w:rFonts w:eastAsia="等线" w:ascii="Arial" w:cs="Arial" w:hAnsi="Arial"/>
          <w:b w:val="true"/>
          <w:sz w:val="22"/>
        </w:rPr>
        <w:t xml:space="preserve">  DISC工具区域解读及极端情绪反应示例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压抑蜷缩区，指图中位线上下淡淡的灰色区域，以人蜷缩或舒展的状态作类比帮助理解。还提及极端情绪反应区，人越张扬，情绪越易被调动。强调市面上DISC工具无这些区域分析，而掌握特殊区域的解读能提升专业性，给客户解读时会有类似“科学算命”的效果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DISC术语学习</w:t>
      </w:r>
      <w:r>
        <w:rPr>
          <w:rFonts w:eastAsia="等线" w:ascii="Arial" w:cs="Arial" w:hAnsi="Arial"/>
          <w:sz w:val="22"/>
        </w:rPr>
        <w:t>：介绍四个因子对应四种动物（D-老虎、I-孔雀、S-考拉、C-猫头鹰），以及三副图（真实的我、工作中的我、压力下的我）的含义。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压力解读</w:t>
      </w:r>
      <w:r>
        <w:rPr>
          <w:rFonts w:eastAsia="等线" w:ascii="Arial" w:cs="Arial" w:hAnsi="Arial"/>
          <w:sz w:val="22"/>
        </w:rPr>
        <w:t>：说明DISC中压力的含义、来源及作用，强调其在专业版中的独特性。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图形位置信息</w:t>
      </w:r>
      <w:r>
        <w:rPr>
          <w:rFonts w:eastAsia="等线" w:ascii="Arial" w:cs="Arial" w:hAnsi="Arial"/>
          <w:sz w:val="22"/>
        </w:rPr>
        <w:t>：解释高位和低位代表的信息，指出高位可了解明显特征、消极因素和激励方式，低位并非负面行为，支持性因素可加强高位特征。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特殊区域讲解</w:t>
      </w:r>
      <w:r>
        <w:rPr>
          <w:rFonts w:eastAsia="等线" w:ascii="Arial" w:cs="Arial" w:hAnsi="Arial"/>
          <w:sz w:val="22"/>
        </w:rPr>
        <w:t>：介绍情绪极端反应区和压抑蜷缩区，说明其与因子强度和行为表现的关系，强调这是市面上DISC工具所没有的。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压力虽然有可能会给人带来负面的情绪或影响，但其实我们也可以把它当做是人类文明进步的朋友，因为压力也可以激励我们不断前进，推动我们去寻找更好的解决方法，从而也能够帮助个人或者整个社会的发展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此句从积极的角度看待压力，提出压力能推动个人和社会发展的独特观点，引发人们对压力的重新思考。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「面对压力时，更好的方式是去接受它、调节它，而不是忽略它或者逃避它，要不然久而久之可能会产生一些心理上的疾病。」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这句话给出了面对压力的正确态度和方法，具有很强的指导意义，能让读者快速理解并引发共鸣。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「在后面的解读中，如果能解读出客户在特殊区域的具体行为，比如极端情绪行为、压抑行为，那种感觉就真的跟科学算命一样。」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形象地说明了解读特殊区域行为的重要性和神奇效果，让读者对后续学习产生兴趣。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8">
        <w:r>
          <w:rPr>
            <w:rFonts w:eastAsia="等线" w:ascii="Arial" w:cs="Arial" w:hAnsi="Arial"/>
            <w:color w:val="3370ff"/>
            <w:sz w:val="22"/>
          </w:rPr>
          <w:t>10. 了解与DISC相关的术语</w:t>
        </w:r>
      </w:hyperlink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hyperlink r:id="rId19">
        <w:r>
          <w:rPr>
            <w:rFonts w:eastAsia="等线" w:ascii="Arial" w:cs="Arial" w:hAnsi="Arial"/>
            <w:color w:val="3370ff"/>
            <w:sz w:val="22"/>
          </w:rPr>
          <w:t>10. 了解与DISC相关的术语 2026年1月22日</w:t>
        </w:r>
      </w:hyperlink>
    </w:p>
    <w:sectPr>
      <w:footerReference w:type="default" r:id="rId3"/>
      <w:headerReference w:type="default" r:id="rId2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868">
    <w:lvl>
      <w:numFmt w:val="bullet"/>
      <w:suff w:val="tab"/>
      <w:lvlText w:val="•"/>
      <w:rPr>
        <w:color w:val="3370ff"/>
      </w:rPr>
    </w:lvl>
  </w:abstractNum>
  <w:abstractNum w:abstractNumId="10869">
    <w:lvl>
      <w:numFmt w:val="bullet"/>
      <w:suff w:val="tab"/>
      <w:lvlText w:val="•"/>
      <w:rPr>
        <w:color w:val="3370ff"/>
      </w:rPr>
    </w:lvl>
  </w:abstractNum>
  <w:abstractNum w:abstractNumId="10870">
    <w:lvl>
      <w:numFmt w:val="bullet"/>
      <w:suff w:val="tab"/>
      <w:lvlText w:val="￮"/>
      <w:rPr>
        <w:color w:val="3370ff"/>
      </w:rPr>
    </w:lvl>
  </w:abstractNum>
  <w:abstractNum w:abstractNumId="10871">
    <w:lvl>
      <w:numFmt w:val="bullet"/>
      <w:suff w:val="tab"/>
      <w:lvlText w:val="￮"/>
      <w:rPr>
        <w:color w:val="3370ff"/>
      </w:rPr>
    </w:lvl>
  </w:abstractNum>
  <w:abstractNum w:abstractNumId="10872">
    <w:lvl>
      <w:numFmt w:val="bullet"/>
      <w:suff w:val="tab"/>
      <w:lvlText w:val="￮"/>
      <w:rPr>
        <w:color w:val="3370ff"/>
      </w:rPr>
    </w:lvl>
  </w:abstractNum>
  <w:abstractNum w:abstractNumId="10873">
    <w:lvl>
      <w:numFmt w:val="bullet"/>
      <w:suff w:val="tab"/>
      <w:lvlText w:val="•"/>
      <w:rPr>
        <w:color w:val="3370ff"/>
      </w:rPr>
    </w:lvl>
  </w:abstractNum>
  <w:abstractNum w:abstractNumId="10874">
    <w:lvl>
      <w:numFmt w:val="bullet"/>
      <w:suff w:val="tab"/>
      <w:lvlText w:val="•"/>
      <w:rPr>
        <w:color w:val="3370ff"/>
      </w:rPr>
    </w:lvl>
  </w:abstractNum>
  <w:abstractNum w:abstractNumId="10875">
    <w:lvl>
      <w:numFmt w:val="bullet"/>
      <w:suff w:val="tab"/>
      <w:lvlText w:val="•"/>
      <w:rPr>
        <w:color w:val="3370ff"/>
      </w:rPr>
    </w:lvl>
  </w:abstractNum>
  <w:abstractNum w:abstractNumId="10876">
    <w:lvl>
      <w:numFmt w:val="bullet"/>
      <w:suff w:val="tab"/>
      <w:lvlText w:val="￮"/>
      <w:rPr>
        <w:color w:val="3370ff"/>
      </w:rPr>
    </w:lvl>
  </w:abstractNum>
  <w:abstractNum w:abstractNumId="10877">
    <w:lvl>
      <w:numFmt w:val="bullet"/>
      <w:suff w:val="tab"/>
      <w:lvlText w:val="▪"/>
      <w:rPr>
        <w:color w:val="3370ff"/>
        <w:sz w:val="11"/>
      </w:rPr>
    </w:lvl>
  </w:abstractNum>
  <w:abstractNum w:abstractNumId="10878">
    <w:lvl>
      <w:numFmt w:val="bullet"/>
      <w:suff w:val="tab"/>
      <w:lvlText w:val="▪"/>
      <w:rPr>
        <w:color w:val="3370ff"/>
        <w:sz w:val="11"/>
      </w:rPr>
    </w:lvl>
  </w:abstractNum>
  <w:abstractNum w:abstractNumId="10879">
    <w:lvl>
      <w:numFmt w:val="bullet"/>
      <w:suff w:val="tab"/>
      <w:lvlText w:val="￮"/>
      <w:rPr>
        <w:color w:val="3370ff"/>
      </w:rPr>
    </w:lvl>
  </w:abstractNum>
  <w:abstractNum w:abstractNumId="10880">
    <w:lvl>
      <w:numFmt w:val="bullet"/>
      <w:suff w:val="tab"/>
      <w:lvlText w:val="▪"/>
      <w:rPr>
        <w:color w:val="3370ff"/>
        <w:sz w:val="11"/>
      </w:rPr>
    </w:lvl>
  </w:abstractNum>
  <w:abstractNum w:abstractNumId="10881">
    <w:lvl>
      <w:numFmt w:val="bullet"/>
      <w:suff w:val="tab"/>
      <w:lvlText w:val="▪"/>
      <w:rPr>
        <w:color w:val="3370ff"/>
        <w:sz w:val="11"/>
      </w:rPr>
    </w:lvl>
  </w:abstractNum>
  <w:abstractNum w:abstractNumId="10882">
    <w:lvl>
      <w:numFmt w:val="bullet"/>
      <w:suff w:val="tab"/>
      <w:lvlText w:val="•"/>
      <w:rPr>
        <w:color w:val="3370ff"/>
      </w:rPr>
    </w:lvl>
  </w:abstractNum>
  <w:abstractNum w:abstractNumId="10883">
    <w:lvl>
      <w:numFmt w:val="bullet"/>
      <w:suff w:val="tab"/>
      <w:lvlText w:val="￮"/>
      <w:rPr>
        <w:color w:val="3370ff"/>
      </w:rPr>
    </w:lvl>
  </w:abstractNum>
  <w:abstractNum w:abstractNumId="10884">
    <w:lvl>
      <w:numFmt w:val="bullet"/>
      <w:suff w:val="tab"/>
      <w:lvlText w:val="▪"/>
      <w:rPr>
        <w:color w:val="3370ff"/>
        <w:sz w:val="11"/>
      </w:rPr>
    </w:lvl>
  </w:abstractNum>
  <w:abstractNum w:abstractNumId="10885">
    <w:lvl>
      <w:numFmt w:val="bullet"/>
      <w:suff w:val="tab"/>
      <w:lvlText w:val="▪"/>
      <w:rPr>
        <w:color w:val="3370ff"/>
        <w:sz w:val="11"/>
      </w:rPr>
    </w:lvl>
  </w:abstractNum>
  <w:abstractNum w:abstractNumId="10886">
    <w:lvl>
      <w:numFmt w:val="bullet"/>
      <w:suff w:val="tab"/>
      <w:lvlText w:val="￮"/>
      <w:rPr>
        <w:color w:val="3370ff"/>
      </w:rPr>
    </w:lvl>
  </w:abstractNum>
  <w:abstractNum w:abstractNumId="10887">
    <w:lvl>
      <w:numFmt w:val="bullet"/>
      <w:suff w:val="tab"/>
      <w:lvlText w:val="▪"/>
      <w:rPr>
        <w:color w:val="3370ff"/>
        <w:sz w:val="11"/>
      </w:rPr>
    </w:lvl>
  </w:abstractNum>
  <w:abstractNum w:abstractNumId="10888">
    <w:lvl>
      <w:numFmt w:val="bullet"/>
      <w:suff w:val="tab"/>
      <w:lvlText w:val="▪"/>
      <w:rPr>
        <w:color w:val="3370ff"/>
        <w:sz w:val="11"/>
      </w:rPr>
    </w:lvl>
  </w:abstractNum>
  <w:abstractNum w:abstractNumId="10889">
    <w:lvl>
      <w:numFmt w:val="bullet"/>
      <w:suff w:val="tab"/>
      <w:lvlText w:val="•"/>
      <w:rPr>
        <w:color w:val="3370ff"/>
      </w:rPr>
    </w:lvl>
  </w:abstractNum>
  <w:abstractNum w:abstractNumId="10890">
    <w:lvl>
      <w:numFmt w:val="bullet"/>
      <w:suff w:val="tab"/>
      <w:lvlText w:val="￮"/>
      <w:rPr>
        <w:color w:val="3370ff"/>
      </w:rPr>
    </w:lvl>
  </w:abstractNum>
  <w:abstractNum w:abstractNumId="10891">
    <w:lvl>
      <w:numFmt w:val="bullet"/>
      <w:suff w:val="tab"/>
      <w:lvlText w:val="▪"/>
      <w:rPr>
        <w:color w:val="3370ff"/>
        <w:sz w:val="11"/>
      </w:rPr>
    </w:lvl>
  </w:abstractNum>
  <w:abstractNum w:abstractNumId="10892">
    <w:lvl>
      <w:numFmt w:val="bullet"/>
      <w:suff w:val="tab"/>
      <w:lvlText w:val="▪"/>
      <w:rPr>
        <w:color w:val="3370ff"/>
        <w:sz w:val="11"/>
      </w:rPr>
    </w:lvl>
  </w:abstractNum>
  <w:abstractNum w:abstractNumId="10893">
    <w:lvl>
      <w:numFmt w:val="bullet"/>
      <w:suff w:val="tab"/>
      <w:lvlText w:val="￮"/>
      <w:rPr>
        <w:color w:val="3370ff"/>
      </w:rPr>
    </w:lvl>
  </w:abstractNum>
  <w:abstractNum w:abstractNumId="10894">
    <w:lvl>
      <w:numFmt w:val="bullet"/>
      <w:suff w:val="tab"/>
      <w:lvlText w:val="•"/>
      <w:rPr>
        <w:color w:val="3370ff"/>
      </w:rPr>
    </w:lvl>
  </w:abstractNum>
  <w:abstractNum w:abstractNumId="10895">
    <w:lvl>
      <w:numFmt w:val="bullet"/>
      <w:suff w:val="tab"/>
      <w:lvlText w:val="•"/>
      <w:rPr>
        <w:color w:val="3370ff"/>
      </w:rPr>
    </w:lvl>
  </w:abstractNum>
  <w:abstractNum w:abstractNumId="10896">
    <w:lvl>
      <w:numFmt w:val="bullet"/>
      <w:suff w:val="tab"/>
      <w:lvlText w:val="•"/>
      <w:rPr>
        <w:color w:val="3370ff"/>
      </w:rPr>
    </w:lvl>
  </w:abstractNum>
  <w:abstractNum w:abstractNumId="10897">
    <w:lvl>
      <w:numFmt w:val="bullet"/>
      <w:suff w:val="tab"/>
      <w:lvlText w:val="•"/>
      <w:rPr>
        <w:color w:val="3370ff"/>
      </w:rPr>
    </w:lvl>
  </w:abstractNum>
  <w:abstractNum w:abstractNumId="10898">
    <w:lvl>
      <w:numFmt w:val="bullet"/>
      <w:suff w:val="tab"/>
      <w:lvlText w:val="•"/>
      <w:rPr>
        <w:color w:val="3370ff"/>
      </w:rPr>
    </w:lvl>
  </w:abstractNum>
  <w:abstractNum w:abstractNumId="10899">
    <w:lvl>
      <w:numFmt w:val="bullet"/>
      <w:suff w:val="tab"/>
      <w:lvlText w:val="•"/>
      <w:rPr>
        <w:color w:val="3370ff"/>
      </w:rPr>
    </w:lvl>
  </w:abstractNum>
  <w:abstractNum w:abstractNumId="10900">
    <w:lvl>
      <w:numFmt w:val="bullet"/>
      <w:suff w:val="tab"/>
      <w:lvlText w:val="￮"/>
      <w:rPr>
        <w:color w:val="3370ff"/>
      </w:rPr>
    </w:lvl>
  </w:abstractNum>
  <w:num w:numId="1">
    <w:abstractNumId w:val="10868"/>
  </w:num>
  <w:num w:numId="2">
    <w:abstractNumId w:val="10869"/>
  </w:num>
  <w:num w:numId="3">
    <w:abstractNumId w:val="10870"/>
  </w:num>
  <w:num w:numId="4">
    <w:abstractNumId w:val="10871"/>
  </w:num>
  <w:num w:numId="5">
    <w:abstractNumId w:val="10872"/>
  </w:num>
  <w:num w:numId="6">
    <w:abstractNumId w:val="10873"/>
  </w:num>
  <w:num w:numId="7">
    <w:abstractNumId w:val="10874"/>
  </w:num>
  <w:num w:numId="8">
    <w:abstractNumId w:val="10875"/>
  </w:num>
  <w:num w:numId="9">
    <w:abstractNumId w:val="10876"/>
  </w:num>
  <w:num w:numId="10">
    <w:abstractNumId w:val="10877"/>
  </w:num>
  <w:num w:numId="11">
    <w:abstractNumId w:val="10878"/>
  </w:num>
  <w:num w:numId="12">
    <w:abstractNumId w:val="10879"/>
  </w:num>
  <w:num w:numId="13">
    <w:abstractNumId w:val="10880"/>
  </w:num>
  <w:num w:numId="14">
    <w:abstractNumId w:val="10881"/>
  </w:num>
  <w:num w:numId="15">
    <w:abstractNumId w:val="10882"/>
  </w:num>
  <w:num w:numId="16">
    <w:abstractNumId w:val="10883"/>
  </w:num>
  <w:num w:numId="17">
    <w:abstractNumId w:val="10884"/>
  </w:num>
  <w:num w:numId="18">
    <w:abstractNumId w:val="10885"/>
  </w:num>
  <w:num w:numId="19">
    <w:abstractNumId w:val="10886"/>
  </w:num>
  <w:num w:numId="20">
    <w:abstractNumId w:val="10887"/>
  </w:num>
  <w:num w:numId="21">
    <w:abstractNumId w:val="10888"/>
  </w:num>
  <w:num w:numId="22">
    <w:abstractNumId w:val="10889"/>
  </w:num>
  <w:num w:numId="23">
    <w:abstractNumId w:val="10890"/>
  </w:num>
  <w:num w:numId="24">
    <w:abstractNumId w:val="10891"/>
  </w:num>
  <w:num w:numId="25">
    <w:abstractNumId w:val="10892"/>
  </w:num>
  <w:num w:numId="26">
    <w:abstractNumId w:val="10893"/>
  </w:num>
  <w:num w:numId="27">
    <w:abstractNumId w:val="10894"/>
  </w:num>
  <w:num w:numId="28">
    <w:abstractNumId w:val="10895"/>
  </w:num>
  <w:num w:numId="29">
    <w:abstractNumId w:val="10896"/>
  </w:num>
  <w:num w:numId="30">
    <w:abstractNumId w:val="10897"/>
  </w:num>
  <w:num w:numId="31">
    <w:abstractNumId w:val="10898"/>
  </w:num>
  <w:num w:numId="32">
    <w:abstractNumId w:val="10899"/>
  </w:num>
  <w:num w:numId="33">
    <w:abstractNumId w:val="1090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o83d7agy4r1yc319a5?t=141000" TargetMode="External" Type="http://schemas.openxmlformats.org/officeDocument/2006/relationships/hyperlink"/><Relationship Id="rId11" Target="https://hcnytq72r1ge.feishu.cn/minutes/obcnfoo83d7agy4r1yc319a5?t=390000" TargetMode="External" Type="http://schemas.openxmlformats.org/officeDocument/2006/relationships/hyperlink"/><Relationship Id="rId12" Target="https://hcnytq72r1ge.feishu.cn/minutes/obcnfoo83d7agy4r1yc319a5?t=448000" TargetMode="External" Type="http://schemas.openxmlformats.org/officeDocument/2006/relationships/hyperlink"/><Relationship Id="rId13" Target="https://hcnytq72r1ge.feishu.cn/minutes/obcnfoo83d7agy4r1yc319a5?t=509000" TargetMode="External" Type="http://schemas.openxmlformats.org/officeDocument/2006/relationships/hyperlink"/><Relationship Id="rId14" Target="https://hcnytq72r1ge.feishu.cn/minutes/obcnfoo83d7agy4r1yc319a5?t=645000" TargetMode="External" Type="http://schemas.openxmlformats.org/officeDocument/2006/relationships/hyperlink"/><Relationship Id="rId15" Target="https://hcnytq72r1ge.feishu.cn/minutes/obcnfoo83d7agy4r1yc319a5?t=783000" TargetMode="External" Type="http://schemas.openxmlformats.org/officeDocument/2006/relationships/hyperlink"/><Relationship Id="rId16" Target="https://hcnytq72r1ge.feishu.cn/minutes/obcnfoo83d7agy4r1yc319a5?t=1009000" TargetMode="External" Type="http://schemas.openxmlformats.org/officeDocument/2006/relationships/hyperlink"/><Relationship Id="rId17" Target="https://hcnytq72r1ge.feishu.cn/minutes/obcnfoo83d7agy4r1yc319a5?t=1083000" TargetMode="External" Type="http://schemas.openxmlformats.org/officeDocument/2006/relationships/hyperlink"/><Relationship Id="rId18" Target="https://hcnytq72r1ge.feishu.cn/minutes/obcnfoo83d7agy4r1yc319a5?from=ai_minutes" TargetMode="External" Type="http://schemas.openxmlformats.org/officeDocument/2006/relationships/hyperlink"/><Relationship Id="rId19" Target="https://hcnytq72r1ge.feishu.cn/docx/A4qIdLaFgowQuMxbdqQcHq6Znof" TargetMode="External" Type="http://schemas.openxmlformats.org/officeDocument/2006/relationships/hyperlink"/><Relationship Id="rId2" Target="styles.xml" Type="http://schemas.openxmlformats.org/officeDocument/2006/relationships/styles"/><Relationship Id="rId20" Target="header1.xml" Type="http://schemas.openxmlformats.org/officeDocument/2006/relationships/header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hcnytq72r1ge.feishu.cn/minutes/obcnfoo83d7agy4r1yc319a5?t=6000" TargetMode="External" Type="http://schemas.openxmlformats.org/officeDocument/2006/relationships/hyperlink"/><Relationship Id="rId9" Target="https://hcnytq72r1ge.feishu.cn/minutes/obcnfoo83d7agy4r1yc319a5?t=87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2026-01-26T11:39:41Z</dcterms:created>
  <dc:creator>Apache POI</dc:creator>
</cp:coreProperties>
</file>