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智能纪要：12. DISC的三层境界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会议主题：12. DISC的三层境界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22:47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本次会议聚焦 DISC 学习，围绕其学习境界、专业解读方法及实际应用案例展开详细讲解，旨在帮助参会者掌握 DISC 工具，提升人际敏感度和专业解读能力，内容如下：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1811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center"/>
      </w:pPr>
      <w:r>
        <w:rPr>
          <w:rFonts w:eastAsia="等线" w:ascii="Arial" w:cs="Arial" w:hAnsi="Arial"/>
          <w:color w:val="8F959E"/>
          <w:sz w:val="22"/>
        </w:rPr>
        <w:t>DISC学习的三个境界</w:t>
        <w:br/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学习的第一境界：手中有剑，心中有剑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基础记忆与简单解读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记住知识点：初阶 DISC 运用者需记住 DISC 各类型含义及描述，借助工具了解特殊图形等情况，但可能只能简单粗暴分类，如称某人是老虎型、i 型等，难以深入解读。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理解特质分布：每个人身上都有 DISC 四种类型，只是比例不同。专业解读应说明某类型特质使用较多，避免只强调一种类型而忽略其他，否则会显得解读不够科学。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行为调整意识</w:t>
      </w:r>
      <w:r>
        <w:rPr>
          <w:rFonts w:eastAsia="等线" w:ascii="Arial" w:cs="Arial" w:hAnsi="Arial"/>
          <w:sz w:val="22"/>
        </w:rPr>
        <w:t>：面对客户时，要理解自身可根据情况选择不同行为风格。例如讲课若语速快下属听不清，面对客户时就需调整沟通方式，不合适就切换风格。学习 DISC 特质后，应知道如何解读客户并调整自身行为。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学习的第二境界：手中有剑，心中无剑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领会内涵与规律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掌握知识联系：此阶段不仅要记住知识点，更要识别、运用其内涵实质，把握知识点间的联系和规律，形成自己的见解和思考方式。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适应不同场景：能将通用场景的解读方法切换到其他场景，通过观察自己和他人行为，大致判断行为风格，结合专业测评报告深度解读客户，包括行为特质、压力来源、特殊图形及极端情绪反应等情况。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专业解读技巧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使用正面表述：与客户专业解读时，少用可能引发负面情绪的词汇，多用正面词汇或正话反说，让客户感觉被理解，而非被挑刺。例如将 “挑剔” 表述为 “关注细节”。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传递理解感受：熟练掌握 DISC 后应具备 “懂客户” 的能力，给客户传递 “我懂你” 的感觉，所提建议让客户看到改变的可能性，而非批评指责。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学习的第三境界：手中无剑，心中也无剑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实践内化能力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积累案例经验：此阶段考验对大量案例的学习和实践掌握能力。若能为超过 10 个案例进行深度解读，并在不同场景下扩充约 10 个案例，学习能力较强者基本能较好掌握。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灵活应用知识：无需死记硬背，能将知识点内化，在不同场景下自如解读他人。围绕同一人在学习、恋爱、与他人冲突等不同场景下的情绪反应都能读懂。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深度解读客户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解读生活状态：借助专业版测评报告，能解读客户目前的生活状态，如开心、有压力或存在困扰等问题，更厉害的是能读出报告背后隐藏的信息，让客户感觉遇到知心人。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实际案例展示：说话人 1 分享两个案例，一是面试候选人，根据特殊图形推测其刚买房；二是青春期早恋孩子，根据特殊图形推测其恋爱问题，均让对方觉得说话人 1 非常懂自己，建立了良好的信任关系。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00:04</w:t>
        </w:r>
      </w:hyperlink>
      <w:r>
        <w:rPr>
          <w:rFonts w:eastAsia="等线" w:ascii="Arial" w:cs="Arial" w:hAnsi="Arial"/>
          <w:b w:val="true"/>
          <w:sz w:val="22"/>
        </w:rPr>
        <w:t xml:space="preserve">  DISC学习初阶境界与行为调整要点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DISC学习的第一层境界“手中有剑，心中有剑”展开，强调要记住并能简单解读。初阶运用者解读较简单粗暴，专业老师会提及各类型特质的使用比例，因为每个人身上都有DISC四种类型。还指出不能执着单一行为风格，应根据对象调整行为，此环节仍处于记背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03:35</w:t>
        </w:r>
      </w:hyperlink>
      <w:r>
        <w:rPr>
          <w:rFonts w:eastAsia="等线" w:ascii="Arial" w:cs="Arial" w:hAnsi="Arial"/>
          <w:b w:val="true"/>
          <w:sz w:val="22"/>
        </w:rPr>
        <w:t xml:space="preserve">  DISC学习领会要点及与客户沟通语言技巧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学习DISC提升人际敏感度到新阶段要“领会”，不仅记住知识点，更要识别、运用、把握联系规律，形成自己见解。要通过观察解读他人行为风格、压力来源等，专业解读时少用负面词，多用正面表述，给客户传递“我懂你”的感觉，避免让对方有被批评的感受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08:26</w:t>
        </w:r>
      </w:hyperlink>
      <w:r>
        <w:rPr>
          <w:rFonts w:eastAsia="等线" w:ascii="Arial" w:cs="Arial" w:hAnsi="Arial"/>
          <w:b w:val="true"/>
          <w:sz w:val="22"/>
        </w:rPr>
        <w:t xml:space="preserve">  DISC专业解读学习难度、要求与案例分享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“手中无剑，心中也无剑”阶段，指大量案例学习实践后的能力掌握。此阶段不难，实践超20个案例基本可掌握。要求不仅领会知识点，还能用于生活不同场景。借助专业版测评深度解读客户，若能读出隐藏信息，客户会觉你懂他。最后还举了作者被称“神婆”的例子鼓励大家学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DISC学习境界</w:t>
      </w:r>
      <w:r>
        <w:rPr>
          <w:rFonts w:eastAsia="等线" w:ascii="Arial" w:cs="Arial" w:hAnsi="Arial"/>
          <w:sz w:val="22"/>
        </w:rPr>
        <w:t>：说话人1介绍了DISC学习的三个境界，分别是手中有剑，心中有剑（记住并简单解读）、手中有剑，心中无剑（领会内涵、形成见解）、手中无剑，心中也无剑（将知识应用于实际生活）。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DISC解读要点</w:t>
      </w:r>
      <w:r>
        <w:rPr>
          <w:rFonts w:eastAsia="等线" w:ascii="Arial" w:cs="Arial" w:hAnsi="Arial"/>
          <w:sz w:val="22"/>
        </w:rPr>
        <w:t>：每个人身上都有DISC四种类型，只是比例不同；解读客户时要调整自己的行为风格，少用负面词汇，多用正面词汇；借助专业版测评能深度解读客户状态及隐藏信息。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学习建议</w:t>
      </w:r>
      <w:r>
        <w:rPr>
          <w:rFonts w:eastAsia="等线" w:ascii="Arial" w:cs="Arial" w:hAnsi="Arial"/>
          <w:sz w:val="22"/>
        </w:rPr>
        <w:t>：实践超过10个深度解读案例，再扩充不同场景下的约10个案例，就能较好掌握DISC解读。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「每个人身上其实都有DISC这四个类型，只是多和少的区别而已，不能只强调一种类型而忽略其他。」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突出了DISC理论中每个人行为风格的多样性，避免简单粗暴的类型判断，是理解DISC的关键观点。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「当你能够熟练掌握DISC之后，要具备给对方传递“我懂你”的感觉的能力，这样给出的建议对方才更易采纳。」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强调了在与客户沟通中理解和共情的重要性，是运用DISC提升人际敏感度的核心要点。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「实践超过10个深度解读案例，再扩充不同场景下约10个案例，就能较好掌握DISC解读，不要害怕，相信自己能学会。」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为学习DISC解读提供了具体的实践路径，鼓励大家积极学习，具有很强的指导意义。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12. DISC的三层境界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12. DISC的三层境界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343">
    <w:lvl>
      <w:numFmt w:val="bullet"/>
      <w:suff w:val="tab"/>
      <w:lvlText w:val="•"/>
      <w:rPr>
        <w:color w:val="3370ff"/>
      </w:rPr>
    </w:lvl>
  </w:abstractNum>
  <w:abstractNum w:abstractNumId="11344">
    <w:lvl>
      <w:numFmt w:val="bullet"/>
      <w:suff w:val="tab"/>
      <w:lvlText w:val="￮"/>
      <w:rPr>
        <w:color w:val="3370ff"/>
      </w:rPr>
    </w:lvl>
  </w:abstractNum>
  <w:abstractNum w:abstractNumId="11345">
    <w:lvl>
      <w:numFmt w:val="bullet"/>
      <w:suff w:val="tab"/>
      <w:lvlText w:val="▪"/>
      <w:rPr>
        <w:color w:val="3370ff"/>
        <w:sz w:val="11"/>
      </w:rPr>
    </w:lvl>
  </w:abstractNum>
  <w:abstractNum w:abstractNumId="11346">
    <w:lvl>
      <w:numFmt w:val="bullet"/>
      <w:suff w:val="tab"/>
      <w:lvlText w:val="▪"/>
      <w:rPr>
        <w:color w:val="3370ff"/>
        <w:sz w:val="11"/>
      </w:rPr>
    </w:lvl>
  </w:abstractNum>
  <w:abstractNum w:abstractNumId="11347">
    <w:lvl>
      <w:numFmt w:val="bullet"/>
      <w:suff w:val="tab"/>
      <w:lvlText w:val="￮"/>
      <w:rPr>
        <w:color w:val="3370ff"/>
      </w:rPr>
    </w:lvl>
  </w:abstractNum>
  <w:abstractNum w:abstractNumId="11348">
    <w:lvl>
      <w:numFmt w:val="bullet"/>
      <w:suff w:val="tab"/>
      <w:lvlText w:val="•"/>
      <w:rPr>
        <w:color w:val="3370ff"/>
      </w:rPr>
    </w:lvl>
  </w:abstractNum>
  <w:abstractNum w:abstractNumId="11349">
    <w:lvl>
      <w:numFmt w:val="bullet"/>
      <w:suff w:val="tab"/>
      <w:lvlText w:val="￮"/>
      <w:rPr>
        <w:color w:val="3370ff"/>
      </w:rPr>
    </w:lvl>
  </w:abstractNum>
  <w:abstractNum w:abstractNumId="11350">
    <w:lvl>
      <w:numFmt w:val="bullet"/>
      <w:suff w:val="tab"/>
      <w:lvlText w:val="▪"/>
      <w:rPr>
        <w:color w:val="3370ff"/>
        <w:sz w:val="11"/>
      </w:rPr>
    </w:lvl>
  </w:abstractNum>
  <w:abstractNum w:abstractNumId="11351">
    <w:lvl>
      <w:numFmt w:val="bullet"/>
      <w:suff w:val="tab"/>
      <w:lvlText w:val="▪"/>
      <w:rPr>
        <w:color w:val="3370ff"/>
        <w:sz w:val="11"/>
      </w:rPr>
    </w:lvl>
  </w:abstractNum>
  <w:abstractNum w:abstractNumId="11352">
    <w:lvl>
      <w:numFmt w:val="bullet"/>
      <w:suff w:val="tab"/>
      <w:lvlText w:val="￮"/>
      <w:rPr>
        <w:color w:val="3370ff"/>
      </w:rPr>
    </w:lvl>
  </w:abstractNum>
  <w:abstractNum w:abstractNumId="11353">
    <w:lvl>
      <w:numFmt w:val="bullet"/>
      <w:suff w:val="tab"/>
      <w:lvlText w:val="▪"/>
      <w:rPr>
        <w:color w:val="3370ff"/>
        <w:sz w:val="11"/>
      </w:rPr>
    </w:lvl>
  </w:abstractNum>
  <w:abstractNum w:abstractNumId="11354">
    <w:lvl>
      <w:numFmt w:val="bullet"/>
      <w:suff w:val="tab"/>
      <w:lvlText w:val="▪"/>
      <w:rPr>
        <w:color w:val="3370ff"/>
        <w:sz w:val="11"/>
      </w:rPr>
    </w:lvl>
  </w:abstractNum>
  <w:abstractNum w:abstractNumId="11355">
    <w:lvl>
      <w:numFmt w:val="bullet"/>
      <w:suff w:val="tab"/>
      <w:lvlText w:val="•"/>
      <w:rPr>
        <w:color w:val="3370ff"/>
      </w:rPr>
    </w:lvl>
  </w:abstractNum>
  <w:abstractNum w:abstractNumId="11356">
    <w:lvl>
      <w:numFmt w:val="bullet"/>
      <w:suff w:val="tab"/>
      <w:lvlText w:val="￮"/>
      <w:rPr>
        <w:color w:val="3370ff"/>
      </w:rPr>
    </w:lvl>
  </w:abstractNum>
  <w:abstractNum w:abstractNumId="11357">
    <w:lvl>
      <w:numFmt w:val="bullet"/>
      <w:suff w:val="tab"/>
      <w:lvlText w:val="▪"/>
      <w:rPr>
        <w:color w:val="3370ff"/>
        <w:sz w:val="11"/>
      </w:rPr>
    </w:lvl>
  </w:abstractNum>
  <w:abstractNum w:abstractNumId="11358">
    <w:lvl>
      <w:numFmt w:val="bullet"/>
      <w:suff w:val="tab"/>
      <w:lvlText w:val="▪"/>
      <w:rPr>
        <w:color w:val="3370ff"/>
        <w:sz w:val="11"/>
      </w:rPr>
    </w:lvl>
  </w:abstractNum>
  <w:abstractNum w:abstractNumId="11359">
    <w:lvl>
      <w:numFmt w:val="bullet"/>
      <w:suff w:val="tab"/>
      <w:lvlText w:val="￮"/>
      <w:rPr>
        <w:color w:val="3370ff"/>
      </w:rPr>
    </w:lvl>
  </w:abstractNum>
  <w:abstractNum w:abstractNumId="11360">
    <w:lvl>
      <w:numFmt w:val="bullet"/>
      <w:suff w:val="tab"/>
      <w:lvlText w:val="▪"/>
      <w:rPr>
        <w:color w:val="3370ff"/>
        <w:sz w:val="11"/>
      </w:rPr>
    </w:lvl>
  </w:abstractNum>
  <w:abstractNum w:abstractNumId="11361">
    <w:lvl>
      <w:numFmt w:val="bullet"/>
      <w:suff w:val="tab"/>
      <w:lvlText w:val="▪"/>
      <w:rPr>
        <w:color w:val="3370ff"/>
        <w:sz w:val="11"/>
      </w:rPr>
    </w:lvl>
  </w:abstractNum>
  <w:abstractNum w:abstractNumId="11362">
    <w:lvl>
      <w:numFmt w:val="bullet"/>
      <w:suff w:val="tab"/>
      <w:lvlText w:val="•"/>
      <w:rPr>
        <w:color w:val="3370ff"/>
      </w:rPr>
    </w:lvl>
  </w:abstractNum>
  <w:abstractNum w:abstractNumId="11363">
    <w:lvl>
      <w:numFmt w:val="bullet"/>
      <w:suff w:val="tab"/>
      <w:lvlText w:val="•"/>
      <w:rPr>
        <w:color w:val="3370ff"/>
      </w:rPr>
    </w:lvl>
  </w:abstractNum>
  <w:abstractNum w:abstractNumId="11364">
    <w:lvl>
      <w:numFmt w:val="bullet"/>
      <w:suff w:val="tab"/>
      <w:lvlText w:val="•"/>
      <w:rPr>
        <w:color w:val="3370ff"/>
      </w:rPr>
    </w:lvl>
  </w:abstractNum>
  <w:abstractNum w:abstractNumId="11365">
    <w:lvl>
      <w:numFmt w:val="bullet"/>
      <w:suff w:val="tab"/>
      <w:lvlText w:val="•"/>
      <w:rPr>
        <w:color w:val="3370ff"/>
      </w:rPr>
    </w:lvl>
  </w:abstractNum>
  <w:abstractNum w:abstractNumId="11366">
    <w:lvl>
      <w:numFmt w:val="bullet"/>
      <w:suff w:val="tab"/>
      <w:lvlText w:val="•"/>
      <w:rPr>
        <w:color w:val="3370ff"/>
      </w:rPr>
    </w:lvl>
  </w:abstractNum>
  <w:abstractNum w:abstractNumId="11367">
    <w:lvl>
      <w:numFmt w:val="bullet"/>
      <w:suff w:val="tab"/>
      <w:lvlText w:val="￮"/>
      <w:rPr>
        <w:color w:val="3370ff"/>
      </w:rPr>
    </w:lvl>
  </w:abstractNum>
  <w:num w:numId="1">
    <w:abstractNumId w:val="11343"/>
  </w:num>
  <w:num w:numId="2">
    <w:abstractNumId w:val="11344"/>
  </w:num>
  <w:num w:numId="3">
    <w:abstractNumId w:val="11345"/>
  </w:num>
  <w:num w:numId="4">
    <w:abstractNumId w:val="11346"/>
  </w:num>
  <w:num w:numId="5">
    <w:abstractNumId w:val="11347"/>
  </w:num>
  <w:num w:numId="6">
    <w:abstractNumId w:val="11348"/>
  </w:num>
  <w:num w:numId="7">
    <w:abstractNumId w:val="11349"/>
  </w:num>
  <w:num w:numId="8">
    <w:abstractNumId w:val="11350"/>
  </w:num>
  <w:num w:numId="9">
    <w:abstractNumId w:val="11351"/>
  </w:num>
  <w:num w:numId="10">
    <w:abstractNumId w:val="11352"/>
  </w:num>
  <w:num w:numId="11">
    <w:abstractNumId w:val="11353"/>
  </w:num>
  <w:num w:numId="12">
    <w:abstractNumId w:val="11354"/>
  </w:num>
  <w:num w:numId="13">
    <w:abstractNumId w:val="11355"/>
  </w:num>
  <w:num w:numId="14">
    <w:abstractNumId w:val="11356"/>
  </w:num>
  <w:num w:numId="15">
    <w:abstractNumId w:val="11357"/>
  </w:num>
  <w:num w:numId="16">
    <w:abstractNumId w:val="11358"/>
  </w:num>
  <w:num w:numId="17">
    <w:abstractNumId w:val="11359"/>
  </w:num>
  <w:num w:numId="18">
    <w:abstractNumId w:val="11360"/>
  </w:num>
  <w:num w:numId="19">
    <w:abstractNumId w:val="11361"/>
  </w:num>
  <w:num w:numId="20">
    <w:abstractNumId w:val="11362"/>
  </w:num>
  <w:num w:numId="21">
    <w:abstractNumId w:val="11363"/>
  </w:num>
  <w:num w:numId="22">
    <w:abstractNumId w:val="11364"/>
  </w:num>
  <w:num w:numId="23">
    <w:abstractNumId w:val="11365"/>
  </w:num>
  <w:num w:numId="24">
    <w:abstractNumId w:val="11366"/>
  </w:num>
  <w:num w:numId="25">
    <w:abstractNumId w:val="113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e5nniyyi6r3v857q11?from=ai_minutes" TargetMode="External" Type="http://schemas.openxmlformats.org/officeDocument/2006/relationships/hyperlink"/><Relationship Id="rId11" Target="https://hcnytq72r1ge.feishu.cn/docx/WEQyd47a5oy9hAxDj11cTBiznNx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ttps://hcnytq72r1ge.feishu.cn/minutes/obcnfoe5nniyyi6r3v857q11?t=4000" TargetMode="External" Type="http://schemas.openxmlformats.org/officeDocument/2006/relationships/hyperlink"/><Relationship Id="rId8" Target="https://hcnytq72r1ge.feishu.cn/minutes/obcnfoe5nniyyi6r3v857q11?t=215000" TargetMode="External" Type="http://schemas.openxmlformats.org/officeDocument/2006/relationships/hyperlink"/><Relationship Id="rId9" Target="https://hcnytq72r1ge.feishu.cn/minutes/obcnfoe5nniyyi6r3v857q11?t=506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2026-01-26T12:19:25Z</dcterms:created>
  <dc:creator>Apache POI</dc:creator>
</cp:coreProperties>
</file>