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智能纪要：17. 初识DISC四个类型总结一下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会议主题：17. 初识DISC四个类型总结一下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22:51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四种类型展开，先总结了各类型特点，接着通过多部视频案例辅助理解不同类型人的行为表现，最后再次总结各类型特征、沟通方式、应对情况及赞美建议等内容，以帮助大家更好掌握 DISC 知识，内容如下：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类型总结回顾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坐标轴特征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关注维度区分：DISC 有坐标轴，横轴左边关注事，老虎和猫头鹰是结果导向、关注事情，人际因子少；右边关注人，孔雀和考拉关注人。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节奏快慢区分：纵轴上方表示节奏快，老虎和孔雀节奏较快；下方表示节奏慢，S 和 C 类型相对内向、行为节奏慢。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个性特质表现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类型特质描述：老虎型简单直接、自信果断、结果导向、强势；孔雀型外向沟通强、善于说服、追求影响力、爱被夸；考拉型温柔内敛、以倾听为主、随和、追求稳定；猫头鹰型善于分析、讲数据事实证据、逻辑性强、追求精确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价值体现：老虎给世界带来希望，孔雀带来欢乐，猫头鹰带来智慧，考拉带来和平。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害怕与喜好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害怕的事：老虎害怕失败、被拒绝、遭人不喜欢或批评；猫头鹰害怕失去安全感、环境变化；考拉害怕冲突。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一印象：老虎和孔雀节奏快，区别是做事快和交朋友快；猫头鹰做事仔细，考拉对人细心，二者动作节奏慢。眼神方面，老虎强势，孔雀探索好奇，考拉温柔，猫头鹰思考质疑。动作上，老虎爱指人，孔雀肢体语言大，考拉和猫头鹰较收敛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在意重点：老虎在意结果和人际关系；考拉更在意稳定和安全感；猫头鹰在意规则和流程；I 型在意人情，有时会为面子牺牲结果。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沟通与应对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沟通公式：不同类型有对应的沟通方式，哪个类型离得近就参考相应方式。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突发事件表现：老虎“战”，如《孤勇者》；孔雀好奇凑热闹，安全意识弱；考拉可能懵住、发呆；C 类型回避。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逆境应对：老虎持欢迎态度；I 型自圆其说，需思考应对方式，如送张杰《逆战》。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优势过头情况：各类型优势过了头会有不同表现，可参考 PPT 理解，初期学习可先记忆，课程结束完成作业应达到第二级理解水平。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学习方法：简单总结了适合各类型的学习方法，可参考杨老师终极课程。还推荐四首代表 DISC 风格的歌曲放松。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视频案例分析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《人民的名义》视频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角色类型对应：达康书记是 D 型（老虎型），高育良是 S 型（考拉型）。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表现差异体现：老虎型的达康书记描述事情时强调创新、果断勇敢和扛业绩；考拉型的高育良认为达康书记是搞破坏。此视频用于娱乐放松，辅助理解不同类型人对同一件事看法的区别。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秦岚相关剧情视频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角色类型判断：秦岚饰演的角色是 DC 型（D 打头），判断依据是处理艺人服毒自杀事件时关注对象等表现。第一个穿白色衣服打电话的助理可能是 IS 型，第二个打电话的助理可能是 S 型。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危机处理观察：重点观察其处理关于人的危机时的态度，以及两个助理在事件中的表现。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《铁娘子》视频</w:t>
      </w:r>
      <w:r>
        <w:rPr>
          <w:rFonts w:eastAsia="等线" w:ascii="Arial" w:cs="Arial" w:hAnsi="Arial"/>
          <w:sz w:val="22"/>
        </w:rPr>
        <w:t>：关注铁娘子面对他人质疑时的反应、爆发情绪后缓和尴尬氛围的方式、所有人离开会议室后释放压力的方式，以此更好理解老虎型人的特点。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赞美与自我认知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赞美需求与类型差异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普遍需求：人天生需要被赞美，面对批评时能淡定冷静的人是运用了成长型思维和 NLP 思维对抗本能。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类型表现：孔雀型人相对会赞美；老虎型人不喜欢道歉，认为是示弱；考拉型人喜欢道歉；I 型人不要只顾自己讲，要倾听别人想法；C 型人要坚定自己想法；S 型人要学会拒绝。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自我认知与客户解读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自我剖析：要先剖析自己，搞定自己。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客户解读：解读客户时要传递出“懂”的感觉，不同类型的人在意的点不同，老虎型在意尊重，I 型在意爱，S 型在意理解，C 型在意讲道理。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Disc课程总结及《人民的名义》片段案例解读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表示disc四个类型学习结束，将总结其情况并播放视频助大家理解。播放《人民的名义》片段，介绍达康书记是D型（老虎型）、高育良是S型（考拉型），展示两人对同一件事看法差异，如达康书记讲创新果断扛业绩，高育良认为其搞破坏，强调此为娱乐辅助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07:03</w:t>
        </w:r>
      </w:hyperlink>
      <w:r>
        <w:rPr>
          <w:rFonts w:eastAsia="等线" w:ascii="Arial" w:cs="Arial" w:hAnsi="Arial"/>
          <w:b w:val="true"/>
          <w:sz w:val="22"/>
        </w:rPr>
        <w:t xml:space="preserve">  秦岚角色类型判断及艺人危机处理讨论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秦岚在视频中饰演角色的类型展开讨论，说话人1判断其为DC型，可通过她处理艺人服毒自杀事件的关注点来判断。还提及两个助理可能的类型。接着是一段工作交流，涉及林香微博热度、自杀处理、徐凌私约等事务，最后又回到对秦岚角色类型判断的询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11:22</w:t>
        </w:r>
      </w:hyperlink>
      <w:r>
        <w:rPr>
          <w:rFonts w:eastAsia="等线" w:ascii="Arial" w:cs="Arial" w:hAnsi="Arial"/>
          <w:b w:val="true"/>
          <w:sz w:val="22"/>
        </w:rPr>
        <w:t xml:space="preserve">  铁娘子视频看点及片中应对质疑表现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先提到播放“铁娘子”相关视频，让大家关注三点：铁娘子面对他人质疑的反应、爆发情绪后缓和尴尬氛围的方式、所有人离开会议室后她释放压力的方式，这有助于理解老虎型。接着呈现视频中众人对话场景，最后说话人1询问大家观看感受，称能理解老虎型的不易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17:52</w:t>
        </w:r>
      </w:hyperlink>
      <w:r>
        <w:rPr>
          <w:rFonts w:eastAsia="等线" w:ascii="Arial" w:cs="Arial" w:hAnsi="Arial"/>
          <w:b w:val="true"/>
          <w:sz w:val="22"/>
        </w:rPr>
        <w:t xml:space="preserve">  快速总结四种性格类型特征及坐标轴特点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快速总结前面内容，介绍了disk的坐标轴，横轴左为关注事，老虎和猫头鹰属此类，右为关注人，孔雀和考拉属此类；纵轴上为快，老虎和孔雀节奏快，下为慢，s和c类型偏内向、行为慢。还阐述了各类人的特征，如老虎简单直接，猫头鹰善分析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20:17</w:t>
        </w:r>
      </w:hyperlink>
      <w:r>
        <w:rPr>
          <w:rFonts w:eastAsia="等线" w:ascii="Arial" w:cs="Arial" w:hAnsi="Arial"/>
          <w:b w:val="true"/>
          <w:sz w:val="22"/>
        </w:rPr>
        <w:t xml:space="preserve">  个性特质价值及害怕之事介绍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表示会讲得快些，因前面已提及相关内容。介绍了不同动物个性特质为世界创造的价值，老虎带来希望，孔雀带来欢乐，猫头鹰带来智慧，考拉带来和平。还提到他们害怕的事情，包括失败、被人拒绝、遭人不喜欢或被人批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20:58</w:t>
        </w:r>
      </w:hyperlink>
      <w:r>
        <w:rPr>
          <w:rFonts w:eastAsia="等线" w:ascii="Arial" w:cs="Arial" w:hAnsi="Arial"/>
          <w:b w:val="true"/>
          <w:sz w:val="22"/>
        </w:rPr>
        <w:t xml:space="preserve">  不同性格类型人的特点、需求及应对建议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老虎、孔雀、考拉、猫头鹰四种类型人的特点。包括给人的第一印象、动作表情、在意的方面等，如老虎在意结果、工作狂，孔雀爱探索、善赞美。还提到不同类型人对赞美、批评的态度，以及各类型人需学会的话和不喜欢的事，强调要懂自己、懂客户并给予赞美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28:30</w:t>
        </w:r>
      </w:hyperlink>
      <w:r>
        <w:rPr>
          <w:rFonts w:eastAsia="等线" w:ascii="Arial" w:cs="Arial" w:hAnsi="Arial"/>
          <w:b w:val="true"/>
          <w:sz w:val="22"/>
        </w:rPr>
        <w:t xml:space="preserve">  不同性格类型沟通与应对事件方式总结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本章节主要围绕不同性格类型的沟通方式、面对突发事件和逆境的反应展开。提到沟通方式有对应公式，不同性格有不同沟通模式；面对突发事件，老虎型应战、孔雀型凑热闹、考拉型发呆、C 型回避；面对逆境，D 型持欢迎态度、I 型自圆其说，还提及用歌曲形容不同类型，也欢迎大家提供形容相关反应的更好词语。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32:04</w:t>
        </w:r>
      </w:hyperlink>
      <w:r>
        <w:rPr>
          <w:rFonts w:eastAsia="等线" w:ascii="Arial" w:cs="Arial" w:hAnsi="Arial"/>
          <w:b w:val="true"/>
          <w:sz w:val="22"/>
        </w:rPr>
        <w:t xml:space="preserve">  DISC课程优势与过头表现及学习建议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本章节主要讲述使用“不足”一词时要谨慎，对“考拉型（S）”的人尤其要慎用。展示了优势与优势过了头的对比列，让大家停留 PPT 页查看。提及学习 DISC 的三层境界，希望课程结束完成作业时达到第二级。还指出课程内容已简化，英语好的可看原版，避免翻译带来的理解问题。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34:51</w:t>
        </w:r>
      </w:hyperlink>
      <w:r>
        <w:rPr>
          <w:rFonts w:eastAsia="等线" w:ascii="Arial" w:cs="Arial" w:hAnsi="Arial"/>
          <w:b w:val="true"/>
          <w:sz w:val="22"/>
        </w:rPr>
        <w:t xml:space="preserve">  时间管理学习方法及杨老师终极课程推荐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本章节说话人1提到内容涉及时间管理，不过其只是简单总结了适合相关人员的学习方法。说话人1还建议大家去观看杨老师的终极课程，以获取更全面的知识。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35:08</w:t>
        </w:r>
      </w:hyperlink>
      <w:r>
        <w:rPr>
          <w:rFonts w:eastAsia="等线" w:ascii="Arial" w:cs="Arial" w:hAnsi="Arial"/>
          <w:b w:val="true"/>
          <w:sz w:val="22"/>
        </w:rPr>
        <w:t xml:space="preserve">  播放四首Disco风格歌曲放松后进入下一章节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为放松环节，说话人1简单提及此环节。其找了四首能代表Disco四种风格的歌曲，且按DISC顺序对歌曲进行了剪辑，让大家听歌放松。此小节学习结束，建议各位老师稍作休息，以便有精力学习下一章节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课程总结</w:t>
      </w:r>
      <w:r>
        <w:rPr>
          <w:rFonts w:eastAsia="等线" w:ascii="Arial" w:cs="Arial" w:hAnsi="Arial"/>
          <w:sz w:val="22"/>
        </w:rPr>
        <w:t>：讲师总结 DISC 四种类型的情况，强调线下互动结合案例练习能更好理解。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视频辅助</w:t>
      </w:r>
      <w:r>
        <w:rPr>
          <w:rFonts w:eastAsia="等线" w:ascii="Arial" w:cs="Arial" w:hAnsi="Arial"/>
          <w:sz w:val="22"/>
        </w:rPr>
        <w:t>：通过播放《人民的名义》《秦岚相关视频》《铁娘子》等视频，帮助学员理解不同类型的人面对事情的看法和应对方式。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类型分析</w:t>
      </w:r>
      <w:r>
        <w:rPr>
          <w:rFonts w:eastAsia="等线" w:ascii="Arial" w:cs="Arial" w:hAnsi="Arial"/>
          <w:sz w:val="22"/>
        </w:rPr>
        <w:t>：详细讲解四种类型人的个性特质、优缺点、不喜欢的事情、面对逆境的态度等，并给出与不同类型人沟通的公式。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  <w:r>
        <w:rPr>
          <w:rFonts w:eastAsia="等线" w:ascii="Arial" w:cs="Arial" w:hAnsi="Arial"/>
          <w:sz w:val="22"/>
        </w:rPr>
        <w:t>：建议学员在课程结束完成作业时达到第二级学习境界，英语能力好的学员看原版文献。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「老虎型的人在描述事情时，会讲自己如何创新、果断勇敢，如何把业绩扛下来；而 S 型的人却认为这样的人是来搞破坏的。」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通过对比老虎型和 S 型的人对同一事情的不同看法，帮助学员更好地理解不同类型人的特点。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「不管我们面对哪个类型的人，都要营造出一种我们懂他们的感觉；至少要先懂自己，剖析自己，搞定自己，再去解读客户。」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强调在人际交往中理解他人和自我认知的重要性，是课程的核心观点之一。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「人天生需要被赞美，不管是什么样的人，我们都需要去赞美他们。」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指出赞美他人的普遍性和重要性，具有一定的启发性。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17. 初识DISC四个类型总结一下</w:t>
        </w:r>
      </w:hyperlink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17. 初识DISC四个类型总结一下 2026年1月22日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90">
    <w:lvl>
      <w:numFmt w:val="bullet"/>
      <w:suff w:val="tab"/>
      <w:lvlText w:val="•"/>
      <w:rPr>
        <w:color w:val="3370ff"/>
      </w:rPr>
    </w:lvl>
  </w:abstractNum>
  <w:abstractNum w:abstractNumId="12091">
    <w:lvl>
      <w:numFmt w:val="bullet"/>
      <w:suff w:val="tab"/>
      <w:lvlText w:val="￮"/>
      <w:rPr>
        <w:color w:val="3370ff"/>
      </w:rPr>
    </w:lvl>
  </w:abstractNum>
  <w:abstractNum w:abstractNumId="12092">
    <w:lvl>
      <w:numFmt w:val="bullet"/>
      <w:suff w:val="tab"/>
      <w:lvlText w:val="▪"/>
      <w:rPr>
        <w:color w:val="3370ff"/>
        <w:sz w:val="11"/>
      </w:rPr>
    </w:lvl>
  </w:abstractNum>
  <w:abstractNum w:abstractNumId="12093">
    <w:lvl>
      <w:numFmt w:val="bullet"/>
      <w:suff w:val="tab"/>
      <w:lvlText w:val="▪"/>
      <w:rPr>
        <w:color w:val="3370ff"/>
        <w:sz w:val="11"/>
      </w:rPr>
    </w:lvl>
  </w:abstractNum>
  <w:abstractNum w:abstractNumId="12094">
    <w:lvl>
      <w:numFmt w:val="bullet"/>
      <w:suff w:val="tab"/>
      <w:lvlText w:val="￮"/>
      <w:rPr>
        <w:color w:val="3370ff"/>
      </w:rPr>
    </w:lvl>
  </w:abstractNum>
  <w:abstractNum w:abstractNumId="12095">
    <w:lvl>
      <w:numFmt w:val="bullet"/>
      <w:suff w:val="tab"/>
      <w:lvlText w:val="▪"/>
      <w:rPr>
        <w:color w:val="3370ff"/>
        <w:sz w:val="11"/>
      </w:rPr>
    </w:lvl>
  </w:abstractNum>
  <w:abstractNum w:abstractNumId="12096">
    <w:lvl>
      <w:numFmt w:val="bullet"/>
      <w:suff w:val="tab"/>
      <w:lvlText w:val="▪"/>
      <w:rPr>
        <w:color w:val="3370ff"/>
        <w:sz w:val="11"/>
      </w:rPr>
    </w:lvl>
  </w:abstractNum>
  <w:abstractNum w:abstractNumId="12097">
    <w:lvl>
      <w:numFmt w:val="bullet"/>
      <w:suff w:val="tab"/>
      <w:lvlText w:val="￮"/>
      <w:rPr>
        <w:color w:val="3370ff"/>
      </w:rPr>
    </w:lvl>
  </w:abstractNum>
  <w:abstractNum w:abstractNumId="12098">
    <w:lvl>
      <w:numFmt w:val="bullet"/>
      <w:suff w:val="tab"/>
      <w:lvlText w:val="▪"/>
      <w:rPr>
        <w:color w:val="3370ff"/>
        <w:sz w:val="11"/>
      </w:rPr>
    </w:lvl>
  </w:abstractNum>
  <w:abstractNum w:abstractNumId="12099">
    <w:lvl>
      <w:numFmt w:val="bullet"/>
      <w:suff w:val="tab"/>
      <w:lvlText w:val="▪"/>
      <w:rPr>
        <w:color w:val="3370ff"/>
        <w:sz w:val="11"/>
      </w:rPr>
    </w:lvl>
  </w:abstractNum>
  <w:abstractNum w:abstractNumId="12100">
    <w:lvl>
      <w:numFmt w:val="bullet"/>
      <w:suff w:val="tab"/>
      <w:lvlText w:val="▪"/>
      <w:rPr>
        <w:color w:val="3370ff"/>
        <w:sz w:val="11"/>
      </w:rPr>
    </w:lvl>
  </w:abstractNum>
  <w:abstractNum w:abstractNumId="12101">
    <w:lvl>
      <w:numFmt w:val="bullet"/>
      <w:suff w:val="tab"/>
      <w:lvlText w:val="￮"/>
      <w:rPr>
        <w:color w:val="3370ff"/>
      </w:rPr>
    </w:lvl>
  </w:abstractNum>
  <w:abstractNum w:abstractNumId="12102">
    <w:lvl>
      <w:numFmt w:val="bullet"/>
      <w:suff w:val="tab"/>
      <w:lvlText w:val="▪"/>
      <w:rPr>
        <w:color w:val="3370ff"/>
        <w:sz w:val="11"/>
      </w:rPr>
    </w:lvl>
  </w:abstractNum>
  <w:abstractNum w:abstractNumId="12103">
    <w:lvl>
      <w:numFmt w:val="bullet"/>
      <w:suff w:val="tab"/>
      <w:lvlText w:val="▪"/>
      <w:rPr>
        <w:color w:val="3370ff"/>
        <w:sz w:val="11"/>
      </w:rPr>
    </w:lvl>
  </w:abstractNum>
  <w:abstractNum w:abstractNumId="12104">
    <w:lvl>
      <w:numFmt w:val="bullet"/>
      <w:suff w:val="tab"/>
      <w:lvlText w:val="▪"/>
      <w:rPr>
        <w:color w:val="3370ff"/>
        <w:sz w:val="11"/>
      </w:rPr>
    </w:lvl>
  </w:abstractNum>
  <w:abstractNum w:abstractNumId="12105">
    <w:lvl>
      <w:numFmt w:val="bullet"/>
      <w:suff w:val="tab"/>
      <w:lvlText w:val="▪"/>
      <w:rPr>
        <w:color w:val="3370ff"/>
        <w:sz w:val="11"/>
      </w:rPr>
    </w:lvl>
  </w:abstractNum>
  <w:abstractNum w:abstractNumId="12106">
    <w:lvl>
      <w:numFmt w:val="bullet"/>
      <w:suff w:val="tab"/>
      <w:lvlText w:val="▪"/>
      <w:rPr>
        <w:color w:val="3370ff"/>
        <w:sz w:val="11"/>
      </w:rPr>
    </w:lvl>
  </w:abstractNum>
  <w:abstractNum w:abstractNumId="12107">
    <w:lvl>
      <w:numFmt w:val="bullet"/>
      <w:suff w:val="tab"/>
      <w:lvlText w:val="•"/>
      <w:rPr>
        <w:color w:val="3370ff"/>
      </w:rPr>
    </w:lvl>
  </w:abstractNum>
  <w:abstractNum w:abstractNumId="12108">
    <w:lvl>
      <w:numFmt w:val="bullet"/>
      <w:suff w:val="tab"/>
      <w:lvlText w:val="￮"/>
      <w:rPr>
        <w:color w:val="3370ff"/>
      </w:rPr>
    </w:lvl>
  </w:abstractNum>
  <w:abstractNum w:abstractNumId="12109">
    <w:lvl>
      <w:numFmt w:val="bullet"/>
      <w:suff w:val="tab"/>
      <w:lvlText w:val="▪"/>
      <w:rPr>
        <w:color w:val="3370ff"/>
        <w:sz w:val="11"/>
      </w:rPr>
    </w:lvl>
  </w:abstractNum>
  <w:abstractNum w:abstractNumId="12110">
    <w:lvl>
      <w:numFmt w:val="bullet"/>
      <w:suff w:val="tab"/>
      <w:lvlText w:val="▪"/>
      <w:rPr>
        <w:color w:val="3370ff"/>
        <w:sz w:val="11"/>
      </w:rPr>
    </w:lvl>
  </w:abstractNum>
  <w:abstractNum w:abstractNumId="12111">
    <w:lvl>
      <w:numFmt w:val="bullet"/>
      <w:suff w:val="tab"/>
      <w:lvlText w:val="￮"/>
      <w:rPr>
        <w:color w:val="3370ff"/>
      </w:rPr>
    </w:lvl>
  </w:abstractNum>
  <w:abstractNum w:abstractNumId="12112">
    <w:lvl>
      <w:numFmt w:val="bullet"/>
      <w:suff w:val="tab"/>
      <w:lvlText w:val="▪"/>
      <w:rPr>
        <w:color w:val="3370ff"/>
        <w:sz w:val="11"/>
      </w:rPr>
    </w:lvl>
  </w:abstractNum>
  <w:abstractNum w:abstractNumId="12113">
    <w:lvl>
      <w:numFmt w:val="bullet"/>
      <w:suff w:val="tab"/>
      <w:lvlText w:val="▪"/>
      <w:rPr>
        <w:color w:val="3370ff"/>
        <w:sz w:val="11"/>
      </w:rPr>
    </w:lvl>
  </w:abstractNum>
  <w:abstractNum w:abstractNumId="12114">
    <w:lvl>
      <w:numFmt w:val="bullet"/>
      <w:suff w:val="tab"/>
      <w:lvlText w:val="￮"/>
      <w:rPr>
        <w:color w:val="3370ff"/>
      </w:rPr>
    </w:lvl>
  </w:abstractNum>
  <w:abstractNum w:abstractNumId="12115">
    <w:lvl>
      <w:numFmt w:val="bullet"/>
      <w:suff w:val="tab"/>
      <w:lvlText w:val="•"/>
      <w:rPr>
        <w:color w:val="3370ff"/>
      </w:rPr>
    </w:lvl>
  </w:abstractNum>
  <w:abstractNum w:abstractNumId="12116">
    <w:lvl>
      <w:numFmt w:val="bullet"/>
      <w:suff w:val="tab"/>
      <w:lvlText w:val="￮"/>
      <w:rPr>
        <w:color w:val="3370ff"/>
      </w:rPr>
    </w:lvl>
  </w:abstractNum>
  <w:abstractNum w:abstractNumId="12117">
    <w:lvl>
      <w:numFmt w:val="bullet"/>
      <w:suff w:val="tab"/>
      <w:lvlText w:val="▪"/>
      <w:rPr>
        <w:color w:val="3370ff"/>
        <w:sz w:val="11"/>
      </w:rPr>
    </w:lvl>
  </w:abstractNum>
  <w:abstractNum w:abstractNumId="12118">
    <w:lvl>
      <w:numFmt w:val="bullet"/>
      <w:suff w:val="tab"/>
      <w:lvlText w:val="▪"/>
      <w:rPr>
        <w:color w:val="3370ff"/>
        <w:sz w:val="11"/>
      </w:rPr>
    </w:lvl>
  </w:abstractNum>
  <w:abstractNum w:abstractNumId="12119">
    <w:lvl>
      <w:numFmt w:val="bullet"/>
      <w:suff w:val="tab"/>
      <w:lvlText w:val="￮"/>
      <w:rPr>
        <w:color w:val="3370ff"/>
      </w:rPr>
    </w:lvl>
  </w:abstractNum>
  <w:abstractNum w:abstractNumId="12120">
    <w:lvl>
      <w:numFmt w:val="bullet"/>
      <w:suff w:val="tab"/>
      <w:lvlText w:val="▪"/>
      <w:rPr>
        <w:color w:val="3370ff"/>
        <w:sz w:val="11"/>
      </w:rPr>
    </w:lvl>
  </w:abstractNum>
  <w:abstractNum w:abstractNumId="12121">
    <w:lvl>
      <w:numFmt w:val="bullet"/>
      <w:suff w:val="tab"/>
      <w:lvlText w:val="▪"/>
      <w:rPr>
        <w:color w:val="3370ff"/>
        <w:sz w:val="11"/>
      </w:rPr>
    </w:lvl>
  </w:abstractNum>
  <w:abstractNum w:abstractNumId="12122">
    <w:lvl>
      <w:numFmt w:val="bullet"/>
      <w:suff w:val="tab"/>
      <w:lvlText w:val="•"/>
      <w:rPr>
        <w:color w:val="3370ff"/>
      </w:rPr>
    </w:lvl>
  </w:abstractNum>
  <w:abstractNum w:abstractNumId="12123">
    <w:lvl>
      <w:numFmt w:val="bullet"/>
      <w:suff w:val="tab"/>
      <w:lvlText w:val="•"/>
      <w:rPr>
        <w:color w:val="3370ff"/>
      </w:rPr>
    </w:lvl>
  </w:abstractNum>
  <w:abstractNum w:abstractNumId="12124">
    <w:lvl>
      <w:numFmt w:val="bullet"/>
      <w:suff w:val="tab"/>
      <w:lvlText w:val="•"/>
      <w:rPr>
        <w:color w:val="3370ff"/>
      </w:rPr>
    </w:lvl>
  </w:abstractNum>
  <w:abstractNum w:abstractNumId="12125">
    <w:lvl>
      <w:numFmt w:val="bullet"/>
      <w:suff w:val="tab"/>
      <w:lvlText w:val="•"/>
      <w:rPr>
        <w:color w:val="3370ff"/>
      </w:rPr>
    </w:lvl>
  </w:abstractNum>
  <w:abstractNum w:abstractNumId="12126">
    <w:lvl>
      <w:numFmt w:val="bullet"/>
      <w:suff w:val="tab"/>
      <w:lvlText w:val="•"/>
      <w:rPr>
        <w:color w:val="3370ff"/>
      </w:rPr>
    </w:lvl>
  </w:abstractNum>
  <w:abstractNum w:abstractNumId="12127">
    <w:lvl>
      <w:numFmt w:val="bullet"/>
      <w:suff w:val="tab"/>
      <w:lvlText w:val="•"/>
      <w:rPr>
        <w:color w:val="3370ff"/>
      </w:rPr>
    </w:lvl>
  </w:abstractNum>
  <w:abstractNum w:abstractNumId="12128">
    <w:lvl>
      <w:numFmt w:val="bullet"/>
      <w:suff w:val="tab"/>
      <w:lvlText w:val="￮"/>
      <w:rPr>
        <w:color w:val="3370ff"/>
      </w:rPr>
    </w:lvl>
  </w:abstractNum>
  <w:num w:numId="1">
    <w:abstractNumId w:val="12090"/>
  </w:num>
  <w:num w:numId="2">
    <w:abstractNumId w:val="12091"/>
  </w:num>
  <w:num w:numId="3">
    <w:abstractNumId w:val="12092"/>
  </w:num>
  <w:num w:numId="4">
    <w:abstractNumId w:val="12093"/>
  </w:num>
  <w:num w:numId="5">
    <w:abstractNumId w:val="12094"/>
  </w:num>
  <w:num w:numId="6">
    <w:abstractNumId w:val="12095"/>
  </w:num>
  <w:num w:numId="7">
    <w:abstractNumId w:val="12096"/>
  </w:num>
  <w:num w:numId="8">
    <w:abstractNumId w:val="12097"/>
  </w:num>
  <w:num w:numId="9">
    <w:abstractNumId w:val="12098"/>
  </w:num>
  <w:num w:numId="10">
    <w:abstractNumId w:val="12099"/>
  </w:num>
  <w:num w:numId="11">
    <w:abstractNumId w:val="12100"/>
  </w:num>
  <w:num w:numId="12">
    <w:abstractNumId w:val="12101"/>
  </w:num>
  <w:num w:numId="13">
    <w:abstractNumId w:val="12102"/>
  </w:num>
  <w:num w:numId="14">
    <w:abstractNumId w:val="12103"/>
  </w:num>
  <w:num w:numId="15">
    <w:abstractNumId w:val="12104"/>
  </w:num>
  <w:num w:numId="16">
    <w:abstractNumId w:val="12105"/>
  </w:num>
  <w:num w:numId="17">
    <w:abstractNumId w:val="12106"/>
  </w:num>
  <w:num w:numId="18">
    <w:abstractNumId w:val="12107"/>
  </w:num>
  <w:num w:numId="19">
    <w:abstractNumId w:val="12108"/>
  </w:num>
  <w:num w:numId="20">
    <w:abstractNumId w:val="12109"/>
  </w:num>
  <w:num w:numId="21">
    <w:abstractNumId w:val="12110"/>
  </w:num>
  <w:num w:numId="22">
    <w:abstractNumId w:val="12111"/>
  </w:num>
  <w:num w:numId="23">
    <w:abstractNumId w:val="12112"/>
  </w:num>
  <w:num w:numId="24">
    <w:abstractNumId w:val="12113"/>
  </w:num>
  <w:num w:numId="25">
    <w:abstractNumId w:val="12114"/>
  </w:num>
  <w:num w:numId="26">
    <w:abstractNumId w:val="12115"/>
  </w:num>
  <w:num w:numId="27">
    <w:abstractNumId w:val="12116"/>
  </w:num>
  <w:num w:numId="28">
    <w:abstractNumId w:val="12117"/>
  </w:num>
  <w:num w:numId="29">
    <w:abstractNumId w:val="12118"/>
  </w:num>
  <w:num w:numId="30">
    <w:abstractNumId w:val="12119"/>
  </w:num>
  <w:num w:numId="31">
    <w:abstractNumId w:val="12120"/>
  </w:num>
  <w:num w:numId="32">
    <w:abstractNumId w:val="12121"/>
  </w:num>
  <w:num w:numId="33">
    <w:abstractNumId w:val="12122"/>
  </w:num>
  <w:num w:numId="34">
    <w:abstractNumId w:val="12123"/>
  </w:num>
  <w:num w:numId="35">
    <w:abstractNumId w:val="12124"/>
  </w:num>
  <w:num w:numId="36">
    <w:abstractNumId w:val="12125"/>
  </w:num>
  <w:num w:numId="37">
    <w:abstractNumId w:val="12126"/>
  </w:num>
  <w:num w:numId="38">
    <w:abstractNumId w:val="12127"/>
  </w:num>
  <w:num w:numId="39">
    <w:abstractNumId w:val="121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mo48v45y9615v3f9we?t=1217000" TargetMode="External" Type="http://schemas.openxmlformats.org/officeDocument/2006/relationships/hyperlink"/><Relationship Id="rId11" Target="https://hcnytq72r1ge.feishu.cn/minutes/obcnfomo48v45y9615v3f9we?t=1258000" TargetMode="External" Type="http://schemas.openxmlformats.org/officeDocument/2006/relationships/hyperlink"/><Relationship Id="rId12" Target="https://hcnytq72r1ge.feishu.cn/minutes/obcnfomo48v45y9615v3f9we?t=1710000" TargetMode="External" Type="http://schemas.openxmlformats.org/officeDocument/2006/relationships/hyperlink"/><Relationship Id="rId13" Target="https://hcnytq72r1ge.feishu.cn/minutes/obcnfomo48v45y9615v3f9we?t=1924000" TargetMode="External" Type="http://schemas.openxmlformats.org/officeDocument/2006/relationships/hyperlink"/><Relationship Id="rId14" Target="https://hcnytq72r1ge.feishu.cn/minutes/obcnfomo48v45y9615v3f9we?t=2091000" TargetMode="External" Type="http://schemas.openxmlformats.org/officeDocument/2006/relationships/hyperlink"/><Relationship Id="rId15" Target="https://hcnytq72r1ge.feishu.cn/minutes/obcnfomo48v45y9615v3f9we?t=2108000" TargetMode="External" Type="http://schemas.openxmlformats.org/officeDocument/2006/relationships/hyperlink"/><Relationship Id="rId16" Target="https://hcnytq72r1ge.feishu.cn/minutes/obcnfomo48v45y9615v3f9we?from=ai_minutes" TargetMode="External" Type="http://schemas.openxmlformats.org/officeDocument/2006/relationships/hyperlink"/><Relationship Id="rId17" Target="https://hcnytq72r1ge.feishu.cn/docx/DxwZdW1UXoJAuFxxOdCc9iLDnaf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mo48v45y9615v3f9we?t=5000" TargetMode="External" Type="http://schemas.openxmlformats.org/officeDocument/2006/relationships/hyperlink"/><Relationship Id="rId7" Target="https://hcnytq72r1ge.feishu.cn/minutes/obcnfomo48v45y9615v3f9we?t=423000" TargetMode="External" Type="http://schemas.openxmlformats.org/officeDocument/2006/relationships/hyperlink"/><Relationship Id="rId8" Target="https://hcnytq72r1ge.feishu.cn/minutes/obcnfomo48v45y9615v3f9we?t=682000" TargetMode="External" Type="http://schemas.openxmlformats.org/officeDocument/2006/relationships/hyperlink"/><Relationship Id="rId9" Target="https://hcnytq72r1ge.feishu.cn/minutes/obcnfomo48v45y9615v3f9we?t=107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2026-01-26T12:28:21Z</dcterms:created>
  <dc:creator>Apache POI</dc:creator>
</cp:coreProperties>
</file>