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智能纪要：18. 高手读图形，新手读文字(导读)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会议主题：18. 高手读图形，新手读文字(导读)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22:52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 DISC 培训中 “高手读图形，新手读文字” 章节展开，说话人 1 强调该章节的重要性，介绍学习要求和重点内容，指导学员掌握相关知识以提升解读能力，内容如下：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章节重要性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学习态度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避免加速学习：说话人 1 表示此章节在 DISC 培训中最重要，不建议学员以加倍语速学习，因为深入掌握能在解读时获取更多信息，展现专业度。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完成前置作业：学习该章节前，学员至少要完成第一篇章的作业，否则后续内容可能难以理解。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实践练习</w:t>
      </w:r>
      <w:r>
        <w:rPr>
          <w:rFonts w:eastAsia="等线" w:ascii="Arial" w:cs="Arial" w:hAnsi="Arial"/>
          <w:sz w:val="22"/>
        </w:rPr>
        <w:t>：学完章节后要拿案例进行实践练习，通过练习能更深刻理解内容，达到高手水平。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学习重点内容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特殊图形记忆</w:t>
            </w:r>
            <w:r>
              <w:rPr>
                <w:rFonts w:eastAsia="等线" w:ascii="Arial" w:cs="Arial" w:hAnsi="Arial"/>
                <w:sz w:val="22"/>
              </w:rPr>
              <w:t>：七种特殊图形是学习重点，学员一定要牢记背诵，但说话人 1 未直接讲解，称有其顺序安排。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因子升降原因</w:t>
            </w:r>
            <w:r>
              <w:rPr>
                <w:rFonts w:eastAsia="等线" w:ascii="Arial" w:cs="Arial" w:hAnsi="Arial"/>
                <w:sz w:val="22"/>
              </w:rPr>
              <w:t>：学员要了解在 DISC 报告过程中，四个因子（四个动物）升降的可能原因，以便解读报告中图形的变化。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报告解读顺序</w:t>
            </w:r>
            <w:r>
              <w:rPr>
                <w:rFonts w:eastAsia="等线" w:ascii="Arial" w:cs="Arial" w:hAnsi="Arial"/>
                <w:sz w:val="22"/>
              </w:rPr>
              <w:t>：虽然解读顺序相对容易记住，但对于测评不熟练的学员，仍需牢记，不同场景下解读顺序的应用可能不同。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7905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DISC培训章节学习重点内容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环境影响理解</w:t>
      </w:r>
      <w:r>
        <w:rPr>
          <w:rFonts w:eastAsia="等线" w:ascii="Arial" w:cs="Arial" w:hAnsi="Arial"/>
          <w:sz w:val="22"/>
        </w:rPr>
        <w:t>：要深刻理解环境对人的影响，因为 DISC 报告围绕行为展开，环境会影响行为。在为孩子和家长服务时，需依据此调整其行为，预测他们可能遇到的问题并给予相应鼓励或推动。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DISC培训“高手读图形”章节学习要点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本章节主要学习“高手读图形，新手读文字”，是 DISC 培训中最重要的部分，不建议大家加倍语速学习。DISC 工具精华在于报告解读，学习前要完成第一篇章作业，学完后需用案例实践练习。内容记忆加练习就能上手，读懂前三幅图形，达到高手水平。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02:45</w:t>
        </w:r>
      </w:hyperlink>
      <w:r>
        <w:rPr>
          <w:rFonts w:eastAsia="等线" w:ascii="Arial" w:cs="Arial" w:hAnsi="Arial"/>
          <w:b w:val="true"/>
          <w:sz w:val="22"/>
        </w:rPr>
        <w:t xml:space="preserve">  本小节学习重点：记图形及因子升降原因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本章节介绍了此环节学习目标的重点内容。一是要掌握七种特殊图形，需牢记背诵，且讲解按特定顺序以避免学员困惑；二是要了解在 DISC 报告过程中，四个因子（对应四个动物）升降的可能原因，因为在报告里这些动物的图片有时会发生变化。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03:45</w:t>
        </w:r>
      </w:hyperlink>
      <w:r>
        <w:rPr>
          <w:rFonts w:eastAsia="等线" w:ascii="Arial" w:cs="Arial" w:hAnsi="Arial"/>
          <w:b w:val="true"/>
          <w:sz w:val="22"/>
        </w:rPr>
        <w:t xml:space="preserve">  报告解读要点及新手记顺序的问题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报告解读展开。首先强调要知晓内容变化的可能原因并能进行解读，其次提到报告的解读顺序，指出解读两三个报告基本就能记住，并非难事，但在对测评不熟练时还需去记忆顺序，此外其他内容相对来说影响不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04:23</w:t>
        </w:r>
      </w:hyperlink>
      <w:r>
        <w:rPr>
          <w:rFonts w:eastAsia="等线" w:ascii="Arial" w:cs="Arial" w:hAnsi="Arial"/>
          <w:b w:val="true"/>
          <w:sz w:val="22"/>
        </w:rPr>
        <w:t xml:space="preserve">  理解环境对人的影响及服务中行为调整要点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本章节强调要深刻理解环境对人的影响，指出 disk 报告围绕行为展开，行为改变受环境影响。在为孩子和家长做服务时，一方面要帮助调整行为，使其更快达成目标，另一方面要掌握预测能力，知晓服务对象何时易放弃、沮丧，明确何时给予鼓励或推动。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：认真学习“高手读图形，新手读文字”章节，做好作业与练习。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：如何更好地掌握 DISC 工具，提升解读报告的专业水平。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提出此章节是 DISC 培训中最重要的，不建议加倍语速学习。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强调学习此章节前要完成第一篇章作业，学完后要拿案例实践练习。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：该章节学习的深度会影响对信息的解读和给家长、学生的专业度感受，且 DISC 工具最精华的部分在于报告解读。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重点掌握七种特殊图形、四个因子升降的可能原因、报告的解读顺序以及环境对人的影响。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 DISC 工具来说，它整个的最精华的部分在于报告的解读。」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 DISC 工具的核心要点，让学员明确学习的重点方向。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「在学习‘高手读图形，新手读文字’章节前，要完成第一篇章的作业，学完后要拿案例实践练习。」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明确了学习该章节的具体要求和方法，有助于学员更好地掌握知识。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「个性加环境等于行为，我们要深刻理解环境对人的影响，以便帮助孩子和家长调整行为，实现目标。」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阐述了行为产生的原因以及学习的目标和意义，对学员有重要的指导作用。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18. 高手读图形，新手读文字(导读)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18. 高手读图形，新手读文字(导读)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4610">
    <w:lvl>
      <w:numFmt w:val="bullet"/>
      <w:suff w:val="tab"/>
      <w:lvlText w:val="•"/>
      <w:rPr>
        <w:color w:val="3370ff"/>
      </w:rPr>
    </w:lvl>
  </w:abstractNum>
  <w:abstractNum w:abstractNumId="244611">
    <w:lvl>
      <w:numFmt w:val="bullet"/>
      <w:suff w:val="tab"/>
      <w:lvlText w:val="￮"/>
      <w:rPr>
        <w:color w:val="3370ff"/>
      </w:rPr>
    </w:lvl>
  </w:abstractNum>
  <w:abstractNum w:abstractNumId="244612">
    <w:lvl>
      <w:numFmt w:val="bullet"/>
      <w:suff w:val="tab"/>
      <w:lvlText w:val="▪"/>
      <w:rPr>
        <w:color w:val="3370ff"/>
        <w:sz w:val="11"/>
      </w:rPr>
    </w:lvl>
  </w:abstractNum>
  <w:abstractNum w:abstractNumId="244613">
    <w:lvl>
      <w:numFmt w:val="bullet"/>
      <w:suff w:val="tab"/>
      <w:lvlText w:val="▪"/>
      <w:rPr>
        <w:color w:val="3370ff"/>
        <w:sz w:val="11"/>
      </w:rPr>
    </w:lvl>
  </w:abstractNum>
  <w:abstractNum w:abstractNumId="244614">
    <w:lvl>
      <w:numFmt w:val="bullet"/>
      <w:suff w:val="tab"/>
      <w:lvlText w:val="￮"/>
      <w:rPr>
        <w:color w:val="3370ff"/>
      </w:rPr>
    </w:lvl>
  </w:abstractNum>
  <w:abstractNum w:abstractNumId="244615">
    <w:lvl>
      <w:numFmt w:val="bullet"/>
      <w:suff w:val="tab"/>
      <w:lvlText w:val="•"/>
      <w:rPr>
        <w:color w:val="3370ff"/>
      </w:rPr>
    </w:lvl>
  </w:abstractNum>
  <w:abstractNum w:abstractNumId="244616">
    <w:lvl>
      <w:numFmt w:val="bullet"/>
      <w:suff w:val="tab"/>
      <w:lvlText w:val="•"/>
      <w:rPr>
        <w:color w:val="3370ff"/>
      </w:rPr>
    </w:lvl>
  </w:abstractNum>
  <w:abstractNum w:abstractNumId="244617">
    <w:lvl>
      <w:numFmt w:val="bullet"/>
      <w:suff w:val="tab"/>
      <w:lvlText w:val="•"/>
      <w:rPr>
        <w:color w:val="3370ff"/>
      </w:rPr>
    </w:lvl>
  </w:abstractNum>
  <w:abstractNum w:abstractNumId="244618">
    <w:lvl>
      <w:numFmt w:val="bullet"/>
      <w:suff w:val="tab"/>
      <w:lvlText w:val="•"/>
      <w:rPr>
        <w:color w:val="3370ff"/>
      </w:rPr>
    </w:lvl>
  </w:abstractNum>
  <w:abstractNum w:abstractNumId="244619">
    <w:lvl>
      <w:numFmt w:val="bullet"/>
      <w:suff w:val="tab"/>
      <w:lvlText w:val="￮"/>
      <w:rPr>
        <w:color w:val="3370ff"/>
      </w:rPr>
    </w:lvl>
  </w:abstractNum>
  <w:abstractNum w:abstractNumId="244620">
    <w:lvl>
      <w:numFmt w:val="bullet"/>
      <w:suff w:val="tab"/>
      <w:lvlText w:val="•"/>
      <w:rPr>
        <w:color w:val="3370ff"/>
      </w:rPr>
    </w:lvl>
  </w:abstractNum>
  <w:abstractNum w:abstractNumId="244621">
    <w:lvl>
      <w:numFmt w:val="bullet"/>
      <w:suff w:val="tab"/>
      <w:lvlText w:val="￮"/>
      <w:rPr>
        <w:color w:val="3370ff"/>
      </w:rPr>
    </w:lvl>
  </w:abstractNum>
  <w:abstractNum w:abstractNumId="244622">
    <w:lvl>
      <w:numFmt w:val="bullet"/>
      <w:suff w:val="tab"/>
      <w:lvlText w:val="￮"/>
      <w:rPr>
        <w:color w:val="3370ff"/>
      </w:rPr>
    </w:lvl>
  </w:abstractNum>
  <w:abstractNum w:abstractNumId="244623">
    <w:lvl>
      <w:numFmt w:val="bullet"/>
      <w:suff w:val="tab"/>
      <w:lvlText w:val="▪"/>
      <w:rPr>
        <w:color w:val="3370ff"/>
        <w:sz w:val="11"/>
      </w:rPr>
    </w:lvl>
  </w:abstractNum>
  <w:abstractNum w:abstractNumId="244624">
    <w:lvl>
      <w:numFmt w:val="bullet"/>
      <w:suff w:val="tab"/>
      <w:lvlText w:val="▪"/>
      <w:rPr>
        <w:color w:val="3370ff"/>
        <w:sz w:val="11"/>
      </w:rPr>
    </w:lvl>
  </w:abstractNum>
  <w:abstractNum w:abstractNumId="244625">
    <w:lvl>
      <w:numFmt w:val="bullet"/>
      <w:suff w:val="tab"/>
      <w:lvlText w:val="￮"/>
      <w:rPr>
        <w:color w:val="3370ff"/>
      </w:rPr>
    </w:lvl>
  </w:abstractNum>
  <w:abstractNum w:abstractNumId="244626">
    <w:lvl>
      <w:numFmt w:val="bullet"/>
      <w:suff w:val="tab"/>
      <w:lvlText w:val="•"/>
      <w:rPr>
        <w:color w:val="3370ff"/>
      </w:rPr>
    </w:lvl>
  </w:abstractNum>
  <w:abstractNum w:abstractNumId="244627">
    <w:lvl>
      <w:start w:val="1"/>
      <w:numFmt w:val="lowerLetter"/>
      <w:suff w:val="tab"/>
      <w:lvlText w:val="%1."/>
      <w:rPr>
        <w:color w:val="3370ff"/>
      </w:rPr>
    </w:lvl>
  </w:abstractNum>
  <w:abstractNum w:abstractNumId="244628">
    <w:lvl>
      <w:numFmt w:val="bullet"/>
      <w:suff w:val="tab"/>
      <w:lvlText w:val="•"/>
      <w:rPr>
        <w:color w:val="3370ff"/>
      </w:rPr>
    </w:lvl>
  </w:abstractNum>
  <w:abstractNum w:abstractNumId="244629">
    <w:lvl>
      <w:numFmt w:val="bullet"/>
      <w:suff w:val="tab"/>
      <w:lvlText w:val="•"/>
      <w:rPr>
        <w:color w:val="3370ff"/>
      </w:rPr>
    </w:lvl>
  </w:abstractNum>
  <w:abstractNum w:abstractNumId="244630">
    <w:lvl>
      <w:numFmt w:val="bullet"/>
      <w:suff w:val="tab"/>
      <w:lvlText w:val="￮"/>
      <w:rPr>
        <w:color w:val="3370ff"/>
      </w:rPr>
    </w:lvl>
  </w:abstractNum>
  <w:num w:numId="1">
    <w:abstractNumId w:val="244610"/>
  </w:num>
  <w:num w:numId="2">
    <w:abstractNumId w:val="244611"/>
  </w:num>
  <w:num w:numId="3">
    <w:abstractNumId w:val="244612"/>
  </w:num>
  <w:num w:numId="4">
    <w:abstractNumId w:val="244613"/>
  </w:num>
  <w:num w:numId="5">
    <w:abstractNumId w:val="244614"/>
  </w:num>
  <w:num w:numId="6">
    <w:abstractNumId w:val="244615"/>
  </w:num>
  <w:num w:numId="7">
    <w:abstractNumId w:val="244616"/>
  </w:num>
  <w:num w:numId="8">
    <w:abstractNumId w:val="244617"/>
  </w:num>
  <w:num w:numId="9">
    <w:abstractNumId w:val="244618"/>
  </w:num>
  <w:num w:numId="10">
    <w:abstractNumId w:val="244619"/>
  </w:num>
  <w:num w:numId="11">
    <w:abstractNumId w:val="244620"/>
  </w:num>
  <w:num w:numId="12">
    <w:abstractNumId w:val="244621"/>
  </w:num>
  <w:num w:numId="13">
    <w:abstractNumId w:val="244622"/>
  </w:num>
  <w:num w:numId="14">
    <w:abstractNumId w:val="244623"/>
  </w:num>
  <w:num w:numId="15">
    <w:abstractNumId w:val="244624"/>
  </w:num>
  <w:num w:numId="16">
    <w:abstractNumId w:val="244625"/>
  </w:num>
  <w:num w:numId="17">
    <w:abstractNumId w:val="244626"/>
  </w:num>
  <w:num w:numId="18">
    <w:abstractNumId w:val="244627"/>
  </w:num>
  <w:num w:numId="19">
    <w:abstractNumId w:val="244628"/>
  </w:num>
  <w:num w:numId="20">
    <w:abstractNumId w:val="244629"/>
  </w:num>
  <w:num w:numId="21">
    <w:abstractNumId w:val="2446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e5x42iu5d9w224flyx?t=263000" TargetMode="External" Type="http://schemas.openxmlformats.org/officeDocument/2006/relationships/hyperlink"/><Relationship Id="rId11" Target="https://hcnytq72r1ge.feishu.cn/minutes/obcnfoe5x42iu5d9w224flyx?from=ai_minutes" TargetMode="External" Type="http://schemas.openxmlformats.org/officeDocument/2006/relationships/hyperlink"/><Relationship Id="rId12" Target="https://hcnytq72r1ge.feishu.cn/docx/MdNRdJqPaoEAgPxXtSVcJBxCnkh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e5x42iu5d9w224flyx?t=5000" TargetMode="External" Type="http://schemas.openxmlformats.org/officeDocument/2006/relationships/hyperlink"/><Relationship Id="rId8" Target="https://hcnytq72r1ge.feishu.cn/minutes/obcnfoe5x42iu5d9w224flyx?t=165000" TargetMode="External" Type="http://schemas.openxmlformats.org/officeDocument/2006/relationships/hyperlink"/><Relationship Id="rId9" Target="https://hcnytq72r1ge.feishu.cn/minutes/obcnfoe5x42iu5d9w224flyx?t=22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2026-01-26T12:31:44Z</dcterms:created>
  <dc:creator>Apache POI</dc:creator>
</cp:coreProperties>
</file>