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智能纪要：19. 掌握解读DISC三幅图的正确顺序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会议主题：19. 掌握解读DISC三幅图的正确顺序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本次会议主要围绕为客户解读报告的重要性、相关理论以及三幅图的解读顺序展开，内容如下：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解读报告的重要性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帮助客户认知自己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标签现象与本能反应：说话人 1 指出，人在生活中会对他人给自己贴的标签有本能反应，对于夸赞的标签会欣然接受，而对负面标签则会抵触。这体现了人在认知自我时的主观性，我们应帮助客户客观认知自己。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248"/>
        <w:gridCol w:w="3229"/>
        <w:gridCol w:w="248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乔哈里视窗理论：该理论包含开放区（我知道，你也知道）、盲区（我不知道，但你知道）、隐藏区（我知道，但你不知道）和未知区（咱俩都不知道）。在服务过程中，我们要帮助客户发现盲区，挖掘潜能。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704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乔哈里视窗四区域对比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预测客户行为与构建信任</w:t>
      </w:r>
      <w:r>
        <w:rPr>
          <w:rFonts w:eastAsia="等线" w:ascii="Arial" w:cs="Arial" w:hAnsi="Arial"/>
          <w:sz w:val="22"/>
        </w:rPr>
        <w:t>：我们要比客户更了解他们自己，预测他们的行为，从而与客户构建良好的信任基础。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报告框架的优势</w:t>
      </w:r>
      <w:r>
        <w:rPr>
          <w:rFonts w:eastAsia="等线" w:ascii="Arial" w:cs="Arial" w:hAnsi="Arial"/>
          <w:sz w:val="22"/>
        </w:rPr>
        <w:t>：专业报告的框架设置已考虑到解读流程，能提升解读效率，降低背诵难度。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解读前的准备与注意事项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熟悉报告内容</w:t>
      </w:r>
      <w:r>
        <w:rPr>
          <w:rFonts w:eastAsia="等线" w:ascii="Arial" w:cs="Arial" w:hAnsi="Arial"/>
          <w:sz w:val="22"/>
        </w:rPr>
        <w:t>：说话人 1 强调，解读客户报告前，一定要熟悉报告，清楚每个部分展示的内容。新手若不提前看报告，解读时容易混乱，且仅靠记忆笔记可能会遗漏要点。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避免贴标签</w:t>
      </w:r>
      <w:r>
        <w:rPr>
          <w:rFonts w:eastAsia="等线" w:ascii="Arial" w:cs="Arial" w:hAnsi="Arial"/>
          <w:sz w:val="22"/>
        </w:rPr>
        <w:t>：在整个培训过程中，要切记不要给别人贴标签，要用动态、发展的眼光看待人的成长。DISC 可以帮助我们更好地认知自己和他人的成长。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三幅图解读相关知识复习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四个因子与三幅图</w:t>
      </w:r>
      <w:r>
        <w:rPr>
          <w:rFonts w:eastAsia="等线" w:ascii="Arial" w:cs="Arial" w:hAnsi="Arial"/>
          <w:sz w:val="22"/>
        </w:rPr>
        <w:t>：四个因子指四个动物，三幅图分别为真实的我、某一个场景下的我和压力下的我。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高位与低位</w:t>
      </w:r>
      <w:r>
        <w:rPr>
          <w:rFonts w:eastAsia="等线" w:ascii="Arial" w:cs="Arial" w:hAnsi="Arial"/>
          <w:sz w:val="22"/>
        </w:rPr>
        <w:t>：在中线以上的动物出现为高位，未出现为低位。高位是明显特征和优势点，我们学习过其行为表现、肢体语言以及喜欢和不喜欢的东西。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支持性因素与区域</w:t>
      </w:r>
      <w:r>
        <w:rPr>
          <w:rFonts w:eastAsia="等线" w:ascii="Arial" w:cs="Arial" w:hAnsi="Arial"/>
          <w:sz w:val="22"/>
        </w:rPr>
        <w:t>：在真实的我当中，有支持性因素强化高位特征。还有极端情绪反应区和压抑蜷缩区，这在市面上免费测评工具或极少专业版测试中才可能出现。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因子组合与特征</w:t>
      </w:r>
      <w:r>
        <w:rPr>
          <w:rFonts w:eastAsia="等线" w:ascii="Arial" w:cs="Arial" w:hAnsi="Arial"/>
          <w:sz w:val="22"/>
        </w:rPr>
        <w:t>：市面上的书多介绍单个高位解释，极少涉及因子组合。因子距离远，特征越明显；因子距离近，特征相对不明显。不同人的图形曲线变化很少完全相同，高手可根据变化解读出不同内容。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三幅图的含义与解读顺序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三幅图的含义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本我：在极大压力下最本能的条件反应，可能连自己都来不及管控。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超我：外界环境要求下做出的调整。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真实的我：调整本我和超我后相对表现出的状态，展示对象是生活中大部分人，更接近乔哈里视窗的开放区，特质展示强弱取决于与他人的关系。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某场景中的我：试图给别人展示的样子，可理解为环境面具，更接近乔哈里视窗的盲区。环境变化会导致行为变化，如换学校、搬家、换工作等，一段时间后 DISC 图形会有改变。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压力下的我：接近乔哈里视窗的秘密区，隐藏在内心深处，高压下才会展示出来，谁撞到枪口上谁能看到。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解读顺序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第一步：先看真实的我，让客户了解自己。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第二步：将真实的我与某场景中的我进行对比。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第三步：将真实的我与压力下的我进行对比。对比内容包括四个因子（DISC）哪些升了哪些降了，以及为什么会有这样的变化。为帮助记忆，说话人 1 用“真装逼”（真指真实的我，装指某场景中的我，逼指压力下的我）来概括。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362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三幅图解读顺序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学习前放松及解读客户报告的目的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，说话人1在正式学习前表示先让大家放松大脑。接着阐述给客户解读报告的原因，一是帮助客户认知自身，了解可能存在的盲区，更好地了解自己；二是预测客户可能的行为，比客户及其家人更懂客户，以此与客户构建良好的信任基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00:55</w:t>
        </w:r>
      </w:hyperlink>
      <w:r>
        <w:rPr>
          <w:rFonts w:eastAsia="等线" w:ascii="Arial" w:cs="Arial" w:hAnsi="Arial"/>
          <w:b w:val="true"/>
          <w:sz w:val="22"/>
        </w:rPr>
        <w:t xml:space="preserve">  专业解读报告的设置优势及重要性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解读报告的重要性。指出若老师对报告框架足够了解，会发现报告的每个篇章和结构已按后续讲解内容设置，能给出提示，告知解读流程，本身可提升解读效率、降低背诵难度，因此需要一份专业报告，而非杂乱无章的报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01:50</w:t>
        </w:r>
      </w:hyperlink>
      <w:r>
        <w:rPr>
          <w:rFonts w:eastAsia="等线" w:ascii="Arial" w:cs="Arial" w:hAnsi="Arial"/>
          <w:b w:val="true"/>
          <w:sz w:val="22"/>
        </w:rPr>
        <w:t xml:space="preserve">  报课目的、乔哈里视窗及标签使用建议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首先以QQ好友印象功能为例，说明人对他人给自己的标签会本能地保留认可的、删除有损形象的。接着介绍了乔哈里视窗理论，包括开放区、盲区、隐藏区和未知区。强调在服务中除发现盲区，还应带客户或孩子发掘潜能，且培训中切记不用标签，要用动态眼光看待人的成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07:00</w:t>
        </w:r>
      </w:hyperlink>
      <w:r>
        <w:rPr>
          <w:rFonts w:eastAsia="等线" w:ascii="Arial" w:cs="Arial" w:hAnsi="Arial"/>
          <w:b w:val="true"/>
          <w:sz w:val="22"/>
        </w:rPr>
        <w:t xml:space="preserve">  DISC报告助自我认知，解读需熟悉报告内容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DISC可助力自我认知与他人成长，指出报告的重要性，提醒要熟悉报告内容，最好手头有报告以便对照。若解读客户前不看报告，新手易混乱。即便记录笔记，也可能遗漏要点，强调看报告有助于减少受过往经验影响，实现对客户客观解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08:27</w:t>
        </w:r>
      </w:hyperlink>
      <w:r>
        <w:rPr>
          <w:rFonts w:eastAsia="等线" w:ascii="Arial" w:cs="Arial" w:hAnsi="Arial"/>
          <w:b w:val="true"/>
          <w:sz w:val="22"/>
        </w:rPr>
        <w:t xml:space="preserve">  三幅图解读顺序及相关概念与特征复习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复习了四个因子、两个位置、两个区域等内容，强调这些特殊区域在市面免费测评工具及多数书中少见，还提及图形因子间距与特征明显程度的关系。接着提到解读三幅图顺序，介绍本我是压力下本能反应，超我是外界要求下的调整，真实我介于两者，其特质展示强弱取决于关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15:20</w:t>
        </w:r>
      </w:hyperlink>
      <w:r>
        <w:rPr>
          <w:rFonts w:eastAsia="等线" w:ascii="Arial" w:cs="Arial" w:hAnsi="Arial"/>
          <w:b w:val="true"/>
          <w:sz w:val="22"/>
        </w:rPr>
        <w:t xml:space="preserve">  环境面具、压力表现与乔哈里视窗的关联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“环境面具”，指人在不同环境中试图展示给他人的样子，如在学校展示给老师同学，在家展示给爸妈，它更接近乔哈里视窗的盲区。强调环境改变会使行为变化，测评结果也会受影响。还提到压力下的表现接近秘密区，有时连自己都不知，谁撞上就会被看到爆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17:03</w:t>
        </w:r>
      </w:hyperlink>
      <w:r>
        <w:rPr>
          <w:rFonts w:eastAsia="等线" w:ascii="Arial" w:cs="Arial" w:hAnsi="Arial"/>
          <w:b w:val="true"/>
          <w:sz w:val="22"/>
        </w:rPr>
        <w:t xml:space="preserve">  解读顺序对比方法及DISC因子变化分析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解读顺序，第一步让客户了解真实的自己，第二步对比真实的自己与特定环境中的自己，第三步对比真实的自己与压力下的自己。为便于记忆，用“真装逼”概括，分别对应真实的我、环境面具下的我和压力下的本我，同时强调对比DISC因子升降及变化原因很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解读报告的意义</w:t>
      </w:r>
      <w:r>
        <w:rPr>
          <w:rFonts w:eastAsia="等线" w:ascii="Arial" w:cs="Arial" w:hAnsi="Arial"/>
          <w:sz w:val="22"/>
        </w:rPr>
        <w:t>：帮助客户认知自己、预测客户行为、构建信任基础，且报告框架能提升解读效率、降低解读难度。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人的认知特点</w:t>
      </w:r>
      <w:r>
        <w:rPr>
          <w:rFonts w:eastAsia="等线" w:ascii="Arial" w:cs="Arial" w:hAnsi="Arial"/>
          <w:sz w:val="22"/>
        </w:rPr>
        <w:t>：人会保留对自己有利的标签，删除有损形象的标签，培训中应避免贴标签，用动态眼光看待人的成长。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报告解读要点</w:t>
      </w:r>
      <w:r>
        <w:rPr>
          <w:rFonts w:eastAsia="等线" w:ascii="Arial" w:cs="Arial" w:hAnsi="Arial"/>
          <w:sz w:val="22"/>
        </w:rPr>
        <w:t>：熟悉报告内容，减少经验影响，做到客观解读。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三幅图解读顺序</w:t>
      </w:r>
      <w:r>
        <w:rPr>
          <w:rFonts w:eastAsia="等线" w:ascii="Arial" w:cs="Arial" w:hAnsi="Arial"/>
          <w:sz w:val="22"/>
        </w:rPr>
        <w:t>：先看真实的我，再对比真实的我与某个环境中的我、真实的我与压力之下的我，对比因子的升降及变化原因。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「我们要预测客户的行为，比他自己和他的父母还要了解他，以此与客户构建良好的信任基础。」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强调了深入了解客户、精准预测客户行为对建立信任的重要性，是解读报告的重要目标之一。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「我们要用动态发展的眼光看待人的成长，切记不要给别人贴标签。」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指出在培训和与人交往中应避免刻板印象，以发展的视角看待他人，具有重要的指导意义。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「解读报告的顺序是，第一步先让客户了解真实的自己，第二步对比真实的自己与某个环境中的自己，第三步对比真实的自己与压力之下的自己。」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清晰明确地阐述了报告解读的具体步骤，为报告解读工作提供了清晰的操作指南。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19. 掌握解读DISC三幅图的正确顺序</w:t>
        </w:r>
      </w:hyperlink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19. 掌握解读DISC三幅图的正确顺序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885">
    <w:lvl>
      <w:numFmt w:val="bullet"/>
      <w:suff w:val="tab"/>
      <w:lvlText w:val="•"/>
      <w:rPr>
        <w:color w:val="3370ff"/>
      </w:rPr>
    </w:lvl>
  </w:abstractNum>
  <w:abstractNum w:abstractNumId="11886">
    <w:lvl>
      <w:numFmt w:val="bullet"/>
      <w:suff w:val="tab"/>
      <w:lvlText w:val="￮"/>
      <w:rPr>
        <w:color w:val="3370ff"/>
      </w:rPr>
    </w:lvl>
  </w:abstractNum>
  <w:abstractNum w:abstractNumId="11887">
    <w:lvl>
      <w:numFmt w:val="bullet"/>
      <w:suff w:val="tab"/>
      <w:lvlText w:val="▪"/>
      <w:rPr>
        <w:color w:val="3370ff"/>
        <w:sz w:val="11"/>
      </w:rPr>
    </w:lvl>
  </w:abstractNum>
  <w:abstractNum w:abstractNumId="11888">
    <w:lvl>
      <w:numFmt w:val="bullet"/>
      <w:suff w:val="tab"/>
      <w:lvlText w:val="•"/>
      <w:rPr>
        <w:color w:val="3370ff"/>
      </w:rPr>
    </w:lvl>
  </w:abstractNum>
  <w:abstractNum w:abstractNumId="11889">
    <w:lvl>
      <w:numFmt w:val="bullet"/>
      <w:suff w:val="tab"/>
      <w:lvlText w:val="￮"/>
      <w:rPr>
        <w:color w:val="3370ff"/>
      </w:rPr>
    </w:lvl>
  </w:abstractNum>
  <w:abstractNum w:abstractNumId="11890">
    <w:lvl>
      <w:numFmt w:val="bullet"/>
      <w:suff w:val="tab"/>
      <w:lvlText w:val="￮"/>
      <w:rPr>
        <w:color w:val="3370ff"/>
      </w:rPr>
    </w:lvl>
  </w:abstractNum>
  <w:abstractNum w:abstractNumId="11891">
    <w:lvl>
      <w:numFmt w:val="bullet"/>
      <w:suff w:val="tab"/>
      <w:lvlText w:val="•"/>
      <w:rPr>
        <w:color w:val="3370ff"/>
      </w:rPr>
    </w:lvl>
  </w:abstractNum>
  <w:abstractNum w:abstractNumId="11892">
    <w:lvl>
      <w:numFmt w:val="bullet"/>
      <w:suff w:val="tab"/>
      <w:lvlText w:val="￮"/>
      <w:rPr>
        <w:color w:val="3370ff"/>
      </w:rPr>
    </w:lvl>
  </w:abstractNum>
  <w:abstractNum w:abstractNumId="11893">
    <w:lvl>
      <w:numFmt w:val="bullet"/>
      <w:suff w:val="tab"/>
      <w:lvlText w:val="￮"/>
      <w:rPr>
        <w:color w:val="3370ff"/>
      </w:rPr>
    </w:lvl>
  </w:abstractNum>
  <w:abstractNum w:abstractNumId="11894">
    <w:lvl>
      <w:numFmt w:val="bullet"/>
      <w:suff w:val="tab"/>
      <w:lvlText w:val="•"/>
      <w:rPr>
        <w:color w:val="3370ff"/>
      </w:rPr>
    </w:lvl>
  </w:abstractNum>
  <w:abstractNum w:abstractNumId="11895">
    <w:lvl>
      <w:numFmt w:val="bullet"/>
      <w:suff w:val="tab"/>
      <w:lvlText w:val="￮"/>
      <w:rPr>
        <w:color w:val="3370ff"/>
      </w:rPr>
    </w:lvl>
  </w:abstractNum>
  <w:abstractNum w:abstractNumId="11896">
    <w:lvl>
      <w:numFmt w:val="bullet"/>
      <w:suff w:val="tab"/>
      <w:lvlText w:val="￮"/>
      <w:rPr>
        <w:color w:val="3370ff"/>
      </w:rPr>
    </w:lvl>
  </w:abstractNum>
  <w:abstractNum w:abstractNumId="11897">
    <w:lvl>
      <w:numFmt w:val="bullet"/>
      <w:suff w:val="tab"/>
      <w:lvlText w:val="￮"/>
      <w:rPr>
        <w:color w:val="3370ff"/>
      </w:rPr>
    </w:lvl>
  </w:abstractNum>
  <w:abstractNum w:abstractNumId="11898">
    <w:lvl>
      <w:numFmt w:val="bullet"/>
      <w:suff w:val="tab"/>
      <w:lvlText w:val="￮"/>
      <w:rPr>
        <w:color w:val="3370ff"/>
      </w:rPr>
    </w:lvl>
  </w:abstractNum>
  <w:abstractNum w:abstractNumId="11899">
    <w:lvl>
      <w:numFmt w:val="bullet"/>
      <w:suff w:val="tab"/>
      <w:lvlText w:val="•"/>
      <w:rPr>
        <w:color w:val="3370ff"/>
      </w:rPr>
    </w:lvl>
  </w:abstractNum>
  <w:abstractNum w:abstractNumId="11900">
    <w:lvl>
      <w:numFmt w:val="bullet"/>
      <w:suff w:val="tab"/>
      <w:lvlText w:val="￮"/>
      <w:rPr>
        <w:color w:val="3370ff"/>
      </w:rPr>
    </w:lvl>
  </w:abstractNum>
  <w:abstractNum w:abstractNumId="11901">
    <w:lvl>
      <w:numFmt w:val="bullet"/>
      <w:suff w:val="tab"/>
      <w:lvlText w:val="▪"/>
      <w:rPr>
        <w:color w:val="3370ff"/>
        <w:sz w:val="11"/>
      </w:rPr>
    </w:lvl>
  </w:abstractNum>
  <w:abstractNum w:abstractNumId="11902">
    <w:lvl>
      <w:numFmt w:val="bullet"/>
      <w:suff w:val="tab"/>
      <w:lvlText w:val="▪"/>
      <w:rPr>
        <w:color w:val="3370ff"/>
        <w:sz w:val="11"/>
      </w:rPr>
    </w:lvl>
  </w:abstractNum>
  <w:abstractNum w:abstractNumId="11903">
    <w:lvl>
      <w:numFmt w:val="bullet"/>
      <w:suff w:val="tab"/>
      <w:lvlText w:val="▪"/>
      <w:rPr>
        <w:color w:val="3370ff"/>
        <w:sz w:val="11"/>
      </w:rPr>
    </w:lvl>
  </w:abstractNum>
  <w:abstractNum w:abstractNumId="11904">
    <w:lvl>
      <w:numFmt w:val="bullet"/>
      <w:suff w:val="tab"/>
      <w:lvlText w:val="▪"/>
      <w:rPr>
        <w:color w:val="3370ff"/>
        <w:sz w:val="11"/>
      </w:rPr>
    </w:lvl>
  </w:abstractNum>
  <w:abstractNum w:abstractNumId="11905">
    <w:lvl>
      <w:numFmt w:val="bullet"/>
      <w:suff w:val="tab"/>
      <w:lvlText w:val="▪"/>
      <w:rPr>
        <w:color w:val="3370ff"/>
        <w:sz w:val="11"/>
      </w:rPr>
    </w:lvl>
  </w:abstractNum>
  <w:abstractNum w:abstractNumId="11906">
    <w:lvl>
      <w:numFmt w:val="bullet"/>
      <w:suff w:val="tab"/>
      <w:lvlText w:val="￮"/>
      <w:rPr>
        <w:color w:val="3370ff"/>
      </w:rPr>
    </w:lvl>
  </w:abstractNum>
  <w:abstractNum w:abstractNumId="11907">
    <w:lvl>
      <w:numFmt w:val="bullet"/>
      <w:suff w:val="tab"/>
      <w:lvlText w:val="▪"/>
      <w:rPr>
        <w:color w:val="3370ff"/>
        <w:sz w:val="11"/>
      </w:rPr>
    </w:lvl>
  </w:abstractNum>
  <w:abstractNum w:abstractNumId="11908">
    <w:lvl>
      <w:numFmt w:val="bullet"/>
      <w:suff w:val="tab"/>
      <w:lvlText w:val="▪"/>
      <w:rPr>
        <w:color w:val="3370ff"/>
        <w:sz w:val="11"/>
      </w:rPr>
    </w:lvl>
  </w:abstractNum>
  <w:abstractNum w:abstractNumId="11909">
    <w:lvl>
      <w:numFmt w:val="bullet"/>
      <w:suff w:val="tab"/>
      <w:lvlText w:val="▪"/>
      <w:rPr>
        <w:color w:val="3370ff"/>
        <w:sz w:val="11"/>
      </w:rPr>
    </w:lvl>
  </w:abstractNum>
  <w:abstractNum w:abstractNumId="11910">
    <w:lvl>
      <w:numFmt w:val="bullet"/>
      <w:suff w:val="tab"/>
      <w:lvlText w:val="•"/>
      <w:rPr>
        <w:color w:val="3370ff"/>
      </w:rPr>
    </w:lvl>
  </w:abstractNum>
  <w:abstractNum w:abstractNumId="11911">
    <w:lvl>
      <w:numFmt w:val="bullet"/>
      <w:suff w:val="tab"/>
      <w:lvlText w:val="•"/>
      <w:rPr>
        <w:color w:val="3370ff"/>
      </w:rPr>
    </w:lvl>
  </w:abstractNum>
  <w:abstractNum w:abstractNumId="11912">
    <w:lvl>
      <w:numFmt w:val="bullet"/>
      <w:suff w:val="tab"/>
      <w:lvlText w:val="•"/>
      <w:rPr>
        <w:color w:val="3370ff"/>
      </w:rPr>
    </w:lvl>
  </w:abstractNum>
  <w:abstractNum w:abstractNumId="11913">
    <w:lvl>
      <w:numFmt w:val="bullet"/>
      <w:suff w:val="tab"/>
      <w:lvlText w:val="•"/>
      <w:rPr>
        <w:color w:val="3370ff"/>
      </w:rPr>
    </w:lvl>
  </w:abstractNum>
  <w:abstractNum w:abstractNumId="11914">
    <w:lvl>
      <w:numFmt w:val="bullet"/>
      <w:suff w:val="tab"/>
      <w:lvlText w:val="•"/>
      <w:rPr>
        <w:color w:val="3370ff"/>
      </w:rPr>
    </w:lvl>
  </w:abstractNum>
  <w:abstractNum w:abstractNumId="11915">
    <w:lvl>
      <w:numFmt w:val="bullet"/>
      <w:suff w:val="tab"/>
      <w:lvlText w:val="•"/>
      <w:rPr>
        <w:color w:val="3370ff"/>
      </w:rPr>
    </w:lvl>
  </w:abstractNum>
  <w:abstractNum w:abstractNumId="11916">
    <w:lvl>
      <w:numFmt w:val="bullet"/>
      <w:suff w:val="tab"/>
      <w:lvlText w:val="￮"/>
      <w:rPr>
        <w:color w:val="3370ff"/>
      </w:rPr>
    </w:lvl>
  </w:abstractNum>
  <w:num w:numId="1">
    <w:abstractNumId w:val="11885"/>
  </w:num>
  <w:num w:numId="2">
    <w:abstractNumId w:val="11886"/>
  </w:num>
  <w:num w:numId="3">
    <w:abstractNumId w:val="11887"/>
  </w:num>
  <w:num w:numId="4">
    <w:abstractNumId w:val="11888"/>
  </w:num>
  <w:num w:numId="5">
    <w:abstractNumId w:val="11889"/>
  </w:num>
  <w:num w:numId="6">
    <w:abstractNumId w:val="11890"/>
  </w:num>
  <w:num w:numId="7">
    <w:abstractNumId w:val="11891"/>
  </w:num>
  <w:num w:numId="8">
    <w:abstractNumId w:val="11892"/>
  </w:num>
  <w:num w:numId="9">
    <w:abstractNumId w:val="11893"/>
  </w:num>
  <w:num w:numId="10">
    <w:abstractNumId w:val="11894"/>
  </w:num>
  <w:num w:numId="11">
    <w:abstractNumId w:val="11895"/>
  </w:num>
  <w:num w:numId="12">
    <w:abstractNumId w:val="11896"/>
  </w:num>
  <w:num w:numId="13">
    <w:abstractNumId w:val="11897"/>
  </w:num>
  <w:num w:numId="14">
    <w:abstractNumId w:val="11898"/>
  </w:num>
  <w:num w:numId="15">
    <w:abstractNumId w:val="11899"/>
  </w:num>
  <w:num w:numId="16">
    <w:abstractNumId w:val="11900"/>
  </w:num>
  <w:num w:numId="17">
    <w:abstractNumId w:val="11901"/>
  </w:num>
  <w:num w:numId="18">
    <w:abstractNumId w:val="11902"/>
  </w:num>
  <w:num w:numId="19">
    <w:abstractNumId w:val="11903"/>
  </w:num>
  <w:num w:numId="20">
    <w:abstractNumId w:val="11904"/>
  </w:num>
  <w:num w:numId="21">
    <w:abstractNumId w:val="11905"/>
  </w:num>
  <w:num w:numId="22">
    <w:abstractNumId w:val="11906"/>
  </w:num>
  <w:num w:numId="23">
    <w:abstractNumId w:val="11907"/>
  </w:num>
  <w:num w:numId="24">
    <w:abstractNumId w:val="11908"/>
  </w:num>
  <w:num w:numId="25">
    <w:abstractNumId w:val="11909"/>
  </w:num>
  <w:num w:numId="26">
    <w:abstractNumId w:val="11910"/>
  </w:num>
  <w:num w:numId="27">
    <w:abstractNumId w:val="11911"/>
  </w:num>
  <w:num w:numId="28">
    <w:abstractNumId w:val="11912"/>
  </w:num>
  <w:num w:numId="29">
    <w:abstractNumId w:val="11913"/>
  </w:num>
  <w:num w:numId="30">
    <w:abstractNumId w:val="11914"/>
  </w:num>
  <w:num w:numId="31">
    <w:abstractNumId w:val="11915"/>
  </w:num>
  <w:num w:numId="32">
    <w:abstractNumId w:val="119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v7sg33ebj6zqiay92o?t=110000" TargetMode="External" Type="http://schemas.openxmlformats.org/officeDocument/2006/relationships/hyperlink"/><Relationship Id="rId11" Target="https://hcnytq72r1ge.feishu.cn/minutes/obcnfov7sg33ebj6zqiay92o?t=420000" TargetMode="External" Type="http://schemas.openxmlformats.org/officeDocument/2006/relationships/hyperlink"/><Relationship Id="rId12" Target="https://hcnytq72r1ge.feishu.cn/minutes/obcnfov7sg33ebj6zqiay92o?t=507000" TargetMode="External" Type="http://schemas.openxmlformats.org/officeDocument/2006/relationships/hyperlink"/><Relationship Id="rId13" Target="https://hcnytq72r1ge.feishu.cn/minutes/obcnfov7sg33ebj6zqiay92o?t=920000" TargetMode="External" Type="http://schemas.openxmlformats.org/officeDocument/2006/relationships/hyperlink"/><Relationship Id="rId14" Target="https://hcnytq72r1ge.feishu.cn/minutes/obcnfov7sg33ebj6zqiay92o?t=1023000" TargetMode="External" Type="http://schemas.openxmlformats.org/officeDocument/2006/relationships/hyperlink"/><Relationship Id="rId15" Target="https://hcnytq72r1ge.feishu.cn/minutes/obcnfov7sg33ebj6zqiay92o?from=ai_minutes" TargetMode="External" Type="http://schemas.openxmlformats.org/officeDocument/2006/relationships/hyperlink"/><Relationship Id="rId16" Target="https://hcnytq72r1ge.feishu.cn/docx/AQZidn47yoB3KFxt9sIcZTl5n7c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v7sg33ebj6zqiay92o?t=5000" TargetMode="External" Type="http://schemas.openxmlformats.org/officeDocument/2006/relationships/hyperlink"/><Relationship Id="rId9" Target="https://hcnytq72r1ge.feishu.cn/minutes/obcnfov7sg33ebj6zqiay92o?t=5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2026-01-26T12:32:49Z</dcterms:created>
  <dc:creator>Apache POI</dc:creator>
</cp:coreProperties>
</file>