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智能纪要：20. 理解三幅图的“一致性”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会议主题：20. 理解三幅图的“一致性”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本次会议围绕三幅图的解读方法、解读策略、状态变化的好坏判断及帮助孩子行为调整等内容展开，说话人 1 结合案例进行详细讲解，内容如下：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三幅图的不同情况及解读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三幅图一致的情况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避免错误解读：说话人 1 表示，当三幅图一致时，有些人会解读为“表里如一”，但这种解读易引发他人质疑。实际上，这只能说明测试者在当前环境中状态较稳定，较少体验到环境压力，处于比较舒服、忠于自我的状态。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仍有解读空间：即便三幅图相对一致，仍存在变化。例如，通过快速对比三幅图，可发现四个因子中变化幅度最大的是 i 值，在工作状态下相对下降；其次是 d 值，在工作状态下也有下降。这些升降变化都有解读的空间。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8667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三幅图不同情况及解读对比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三幅图差异大的情况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可能的原因：说话人 1 指出，当三个状态的曲线变化差异较大时，可能是测试者在当前环境中遇到了较大变化或变故，导致放不开手脚；也可能是测试者对自己的行为风格不太清楚，处于迷茫探索阶段。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结合面诊判断：此时需要结合面诊，若测试者本人看上去拘促，可能倾向于上述两种情况；若看上去不拘促，则可能处于硬扛阶段，长期如此可能会崩溃。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部分图一致的情况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真实我和压力下的我相同：当真实的我和压力下的我图形一样，但工作中的我变化较大时，说明测试者状态不稳定，感受到了环境压力并尝试调整。此时可将这两幅图与工作中的图对比进行解读。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真实我和环境中的我相同：当真实的我和环境中的我图形一样，但与压力下的我不同时，测试者相对稳定，对目前环境适应较好。解读时应着重分析真实的我和压力下的我的变化。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报告状态变化的好坏判断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从模型角度解释</w:t>
      </w:r>
      <w:r>
        <w:rPr>
          <w:rFonts w:eastAsia="等线" w:ascii="Arial" w:cs="Arial" w:hAnsi="Arial"/>
          <w:sz w:val="22"/>
        </w:rPr>
        <w:t>：说话人 1 提出，对于报告中所呈现的状态变化，不能简单判断好坏。可从意愿、效能、支持模型来解释，意愿指个人实现目标的积极性和主动性，效能指实现目标的能力和技巧，支持指实现目标时得到的外部帮助和资源。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积极改变的情况</w:t>
      </w:r>
      <w:r>
        <w:rPr>
          <w:rFonts w:eastAsia="等线" w:ascii="Arial" w:cs="Arial" w:hAnsi="Arial"/>
          <w:sz w:val="22"/>
        </w:rPr>
        <w:t>：如果一个人有积极意愿改变自己，相信自己能成功，努力学习技能、寻找资源，并得到支持和鼓励，即便改变有难度，也会感到满足和开心。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帮助孩子行为调整的建议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调整的方向</w:t>
      </w:r>
      <w:r>
        <w:rPr>
          <w:rFonts w:eastAsia="等线" w:ascii="Arial" w:cs="Arial" w:hAnsi="Arial"/>
          <w:sz w:val="22"/>
        </w:rPr>
        <w:t>：说话人 1 认为，帮助孩子做行为调整时，可从该模型入手，提升孩子的意愿度，给予相应方法提升改变效能，同时给予支持和鼓励。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案例说明</w:t>
      </w:r>
      <w:r>
        <w:rPr>
          <w:rFonts w:eastAsia="等线" w:ascii="Arial" w:cs="Arial" w:hAnsi="Arial"/>
          <w:sz w:val="22"/>
        </w:rPr>
        <w:t>：以陈思南为例，他原本是 ID 类型，为了提分，一个学期内将自己变成了 DI 类型，i 值下降，d 值大幅上升，目标感变强。高考结束后，他又变回了原来的样子。这说明孩子为了适应环境可以做出改变，且改变后可恢复原状。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三幅测试图一致情况解读及因子变化分析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拿到三幅图时的一种情况，即三幅图较为一致。此时要避免“表里如一”等错误解读，这种一致说明测试者在当前环境中状态较稳定、活得舒服。虽图整体一致但仍有变化，如变化幅度最大的因子，i 在工作时下降，d 在工作中变化最大，升与降背后都有可解读的空间。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03:28</w:t>
        </w:r>
      </w:hyperlink>
      <w:r>
        <w:rPr>
          <w:rFonts w:eastAsia="等线" w:ascii="Arial" w:cs="Arial" w:hAnsi="Arial"/>
          <w:b w:val="true"/>
          <w:sz w:val="22"/>
        </w:rPr>
        <w:t xml:space="preserve">  三幅图差异大情况分析及应对判断建议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三幅图都不一样的情况，虽未找到完美例子，但指出图命名虽不同，关键部分变化不大。曲线变化差异大表明两种情况，一是测试者近期生活有大变化或变故，二是对自身行为风格迷茫。此时需结合面诊，若拘促可能迷茫，若不似报告中拘促则可能在硬扛，久了易崩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06:17</w:t>
        </w:r>
      </w:hyperlink>
      <w:r>
        <w:rPr>
          <w:rFonts w:eastAsia="等线" w:ascii="Arial" w:cs="Arial" w:hAnsi="Arial"/>
          <w:b w:val="true"/>
          <w:sz w:val="22"/>
        </w:rPr>
        <w:t xml:space="preserve">  真实与压力下曲线相似情况的解读分析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在分析图形时会遇到真实的我和压力下的我图形相似，但工作中图形有较大变化的情况，如从DC变成孔雀或孔雀加考拉。这表明此人当前状态不稳定，可能感受到环境压力并尝试调整改变。此时，将该图与工作中的情况对比能解读出更多信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07:38</w:t>
        </w:r>
      </w:hyperlink>
      <w:r>
        <w:rPr>
          <w:rFonts w:eastAsia="等线" w:ascii="Arial" w:cs="Arial" w:hAnsi="Arial"/>
          <w:b w:val="true"/>
          <w:sz w:val="22"/>
        </w:rPr>
        <w:t xml:space="preserve">  解读侧重真实与压力下的差异并学会取舍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某人努力适应环境，其真实的我与环境中的自己一致，但和压力下的自己不同，这种情况相对稳定，对当前环境适应尚可。建议解读时着重分析真实的我和压力下的我的变化，因解读时间有限，若发现有两幅图较一致，应解读差异较大的那幅，这样解读话题和空间更多更好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09:01</w:t>
        </w:r>
      </w:hyperlink>
      <w:r>
        <w:rPr>
          <w:rFonts w:eastAsia="等线" w:ascii="Arial" w:cs="Arial" w:hAnsi="Arial"/>
          <w:b w:val="true"/>
          <w:sz w:val="22"/>
        </w:rPr>
        <w:t xml:space="preserve">  用意愿效能支持模型解释行为调整案例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报告呈现的高低变化好坏问题，提出用意愿、效能、支持模型解释。意愿指实现目标的积极性等，效能是实现目标的能力，支持是外部帮助。帮助孩子行为调整可从该模型入手，还以学生提分案例说明，如陈思南为提分改变自身，高考后又恢复原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三图解读</w:t>
      </w:r>
      <w:r>
        <w:rPr>
          <w:rFonts w:eastAsia="等线" w:ascii="Arial" w:cs="Arial" w:hAnsi="Arial"/>
          <w:sz w:val="22"/>
        </w:rPr>
        <w:t>：分享了拿到三幅图时不同情况的解读方法，如三幅图一致、三幅图都不同、真实的我和压力下的我图形一样但工作中不同等情况。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变化好坏</w:t>
      </w:r>
      <w:r>
        <w:rPr>
          <w:rFonts w:eastAsia="等线" w:ascii="Arial" w:cs="Arial" w:hAnsi="Arial"/>
          <w:sz w:val="22"/>
        </w:rPr>
        <w:t>：指出报告呈现的状态变化没有绝对的好坏，人随环境变化做调整是适者生存的表现。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行为调整</w:t>
      </w:r>
      <w:r>
        <w:rPr>
          <w:rFonts w:eastAsia="等线" w:ascii="Arial" w:cs="Arial" w:hAnsi="Arial"/>
          <w:sz w:val="22"/>
        </w:rPr>
        <w:t>：介绍用意愿、效能、支持模型帮助孩子做行为调整，还举例说明学生为适应环境改变自身风格。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「三幅图表现一致，说明测试者在当前环境中相对稳定，较少体验到环境压力，处于比较舒服、忠于自我的状态。」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清晰阐述了三幅图一致时所代表的测试者状态，是对会议中图形解读内容的关键总结。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「人随着环境的变化而去做一些调整，这符合适者生存的道理。」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点明了人适应环境变化的合理性，是会议中关于状态变化好坏讨论的核心观点。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「如果一个人有积极的意愿去改变自己，相信自己能够成功，努力学习技能、寻找资源，并且得到支持和鼓励，即便改变有难度，也会感到满足和开心。」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详细说明了意愿、效能和支持对个人改变的重要性，为帮助孩子做行为调整提供了理论依据。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20. 理解三幅图的“一致性”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20. 理解三幅图的“一致性”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86">
    <w:lvl>
      <w:numFmt w:val="bullet"/>
      <w:suff w:val="tab"/>
      <w:lvlText w:val="•"/>
      <w:rPr>
        <w:color w:val="3370ff"/>
      </w:rPr>
    </w:lvl>
  </w:abstractNum>
  <w:abstractNum w:abstractNumId="1787">
    <w:lvl>
      <w:numFmt w:val="bullet"/>
      <w:suff w:val="tab"/>
      <w:lvlText w:val="•"/>
      <w:rPr>
        <w:color w:val="3370ff"/>
      </w:rPr>
    </w:lvl>
  </w:abstractNum>
  <w:abstractNum w:abstractNumId="1788">
    <w:lvl>
      <w:numFmt w:val="bullet"/>
      <w:suff w:val="tab"/>
      <w:lvlText w:val="￮"/>
      <w:rPr>
        <w:color w:val="3370ff"/>
      </w:rPr>
    </w:lvl>
  </w:abstractNum>
  <w:abstractNum w:abstractNumId="1789">
    <w:lvl>
      <w:numFmt w:val="bullet"/>
      <w:suff w:val="tab"/>
      <w:lvlText w:val="￮"/>
      <w:rPr>
        <w:color w:val="3370ff"/>
      </w:rPr>
    </w:lvl>
  </w:abstractNum>
  <w:abstractNum w:abstractNumId="1790">
    <w:lvl>
      <w:numFmt w:val="bullet"/>
      <w:suff w:val="tab"/>
      <w:lvlText w:val="￮"/>
      <w:rPr>
        <w:color w:val="3370ff"/>
      </w:rPr>
    </w:lvl>
  </w:abstractNum>
  <w:abstractNum w:abstractNumId="1791">
    <w:lvl>
      <w:numFmt w:val="bullet"/>
      <w:suff w:val="tab"/>
      <w:lvlText w:val="▪"/>
      <w:rPr>
        <w:color w:val="3370ff"/>
        <w:sz w:val="11"/>
      </w:rPr>
    </w:lvl>
  </w:abstractNum>
  <w:abstractNum w:abstractNumId="1792">
    <w:lvl>
      <w:numFmt w:val="bullet"/>
      <w:suff w:val="tab"/>
      <w:lvlText w:val="▪"/>
      <w:rPr>
        <w:color w:val="3370ff"/>
        <w:sz w:val="11"/>
      </w:rPr>
    </w:lvl>
  </w:abstractNum>
  <w:abstractNum w:abstractNumId="1793">
    <w:lvl>
      <w:numFmt w:val="bullet"/>
      <w:suff w:val="tab"/>
      <w:lvlText w:val="￮"/>
      <w:rPr>
        <w:color w:val="3370ff"/>
      </w:rPr>
    </w:lvl>
  </w:abstractNum>
  <w:abstractNum w:abstractNumId="1794">
    <w:lvl>
      <w:numFmt w:val="bullet"/>
      <w:suff w:val="tab"/>
      <w:lvlText w:val="▪"/>
      <w:rPr>
        <w:color w:val="3370ff"/>
        <w:sz w:val="11"/>
      </w:rPr>
    </w:lvl>
  </w:abstractNum>
  <w:abstractNum w:abstractNumId="1795">
    <w:lvl>
      <w:numFmt w:val="bullet"/>
      <w:suff w:val="tab"/>
      <w:lvlText w:val="▪"/>
      <w:rPr>
        <w:color w:val="3370ff"/>
        <w:sz w:val="11"/>
      </w:rPr>
    </w:lvl>
  </w:abstractNum>
  <w:abstractNum w:abstractNumId="1796">
    <w:lvl>
      <w:numFmt w:val="bullet"/>
      <w:suff w:val="tab"/>
      <w:lvlText w:val="•"/>
      <w:rPr>
        <w:color w:val="3370ff"/>
      </w:rPr>
    </w:lvl>
  </w:abstractNum>
  <w:abstractNum w:abstractNumId="1797">
    <w:lvl>
      <w:numFmt w:val="bullet"/>
      <w:suff w:val="tab"/>
      <w:lvlText w:val="￮"/>
      <w:rPr>
        <w:color w:val="3370ff"/>
      </w:rPr>
    </w:lvl>
  </w:abstractNum>
  <w:abstractNum w:abstractNumId="1798">
    <w:lvl>
      <w:numFmt w:val="bullet"/>
      <w:suff w:val="tab"/>
      <w:lvlText w:val="￮"/>
      <w:rPr>
        <w:color w:val="3370ff"/>
      </w:rPr>
    </w:lvl>
  </w:abstractNum>
  <w:abstractNum w:abstractNumId="1799">
    <w:lvl>
      <w:numFmt w:val="bullet"/>
      <w:suff w:val="tab"/>
      <w:lvlText w:val="•"/>
      <w:rPr>
        <w:color w:val="3370ff"/>
      </w:rPr>
    </w:lvl>
  </w:abstractNum>
  <w:abstractNum w:abstractNumId="1800">
    <w:lvl>
      <w:numFmt w:val="bullet"/>
      <w:suff w:val="tab"/>
      <w:lvlText w:val="￮"/>
      <w:rPr>
        <w:color w:val="3370ff"/>
      </w:rPr>
    </w:lvl>
  </w:abstractNum>
  <w:abstractNum w:abstractNumId="1801">
    <w:lvl>
      <w:numFmt w:val="bullet"/>
      <w:suff w:val="tab"/>
      <w:lvlText w:val="￮"/>
      <w:rPr>
        <w:color w:val="3370ff"/>
      </w:rPr>
    </w:lvl>
  </w:abstractNum>
  <w:abstractNum w:abstractNumId="1802">
    <w:lvl>
      <w:numFmt w:val="bullet"/>
      <w:suff w:val="tab"/>
      <w:lvlText w:val="•"/>
      <w:rPr>
        <w:color w:val="3370ff"/>
      </w:rPr>
    </w:lvl>
  </w:abstractNum>
  <w:abstractNum w:abstractNumId="1803">
    <w:lvl>
      <w:numFmt w:val="bullet"/>
      <w:suff w:val="tab"/>
      <w:lvlText w:val="•"/>
      <w:rPr>
        <w:color w:val="3370ff"/>
      </w:rPr>
    </w:lvl>
  </w:abstractNum>
  <w:abstractNum w:abstractNumId="1804">
    <w:lvl>
      <w:numFmt w:val="bullet"/>
      <w:suff w:val="tab"/>
      <w:lvlText w:val="•"/>
      <w:rPr>
        <w:color w:val="3370ff"/>
      </w:rPr>
    </w:lvl>
  </w:abstractNum>
  <w:abstractNum w:abstractNumId="1805">
    <w:lvl>
      <w:numFmt w:val="bullet"/>
      <w:suff w:val="tab"/>
      <w:lvlText w:val="•"/>
      <w:rPr>
        <w:color w:val="3370ff"/>
      </w:rPr>
    </w:lvl>
  </w:abstractNum>
  <w:abstractNum w:abstractNumId="1806">
    <w:lvl>
      <w:numFmt w:val="bullet"/>
      <w:suff w:val="tab"/>
      <w:lvlText w:val="•"/>
      <w:rPr>
        <w:color w:val="3370ff"/>
      </w:rPr>
    </w:lvl>
  </w:abstractNum>
  <w:abstractNum w:abstractNumId="1807">
    <w:lvl>
      <w:numFmt w:val="bullet"/>
      <w:suff w:val="tab"/>
      <w:lvlText w:val="￮"/>
      <w:rPr>
        <w:color w:val="3370ff"/>
      </w:rPr>
    </w:lvl>
  </w:abstractNum>
  <w:num w:numId="1">
    <w:abstractNumId w:val="1786"/>
  </w:num>
  <w:num w:numId="2">
    <w:abstractNumId w:val="1787"/>
  </w:num>
  <w:num w:numId="3">
    <w:abstractNumId w:val="1788"/>
  </w:num>
  <w:num w:numId="4">
    <w:abstractNumId w:val="1789"/>
  </w:num>
  <w:num w:numId="5">
    <w:abstractNumId w:val="1790"/>
  </w:num>
  <w:num w:numId="6">
    <w:abstractNumId w:val="1791"/>
  </w:num>
  <w:num w:numId="7">
    <w:abstractNumId w:val="1792"/>
  </w:num>
  <w:num w:numId="8">
    <w:abstractNumId w:val="1793"/>
  </w:num>
  <w:num w:numId="9">
    <w:abstractNumId w:val="1794"/>
  </w:num>
  <w:num w:numId="10">
    <w:abstractNumId w:val="1795"/>
  </w:num>
  <w:num w:numId="11">
    <w:abstractNumId w:val="1796"/>
  </w:num>
  <w:num w:numId="12">
    <w:abstractNumId w:val="1797"/>
  </w:num>
  <w:num w:numId="13">
    <w:abstractNumId w:val="1798"/>
  </w:num>
  <w:num w:numId="14">
    <w:abstractNumId w:val="1799"/>
  </w:num>
  <w:num w:numId="15">
    <w:abstractNumId w:val="1800"/>
  </w:num>
  <w:num w:numId="16">
    <w:abstractNumId w:val="1801"/>
  </w:num>
  <w:num w:numId="17">
    <w:abstractNumId w:val="1802"/>
  </w:num>
  <w:num w:numId="18">
    <w:abstractNumId w:val="1803"/>
  </w:num>
  <w:num w:numId="19">
    <w:abstractNumId w:val="1804"/>
  </w:num>
  <w:num w:numId="20">
    <w:abstractNumId w:val="1805"/>
  </w:num>
  <w:num w:numId="21">
    <w:abstractNumId w:val="1806"/>
  </w:num>
  <w:num w:numId="22">
    <w:abstractNumId w:val="18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61feu2wrg32811uwd9?t=458000" TargetMode="External" Type="http://schemas.openxmlformats.org/officeDocument/2006/relationships/hyperlink"/><Relationship Id="rId11" Target="https://hcnytq72r1ge.feishu.cn/minutes/obcnfo61feu2wrg32811uwd9?t=541000" TargetMode="External" Type="http://schemas.openxmlformats.org/officeDocument/2006/relationships/hyperlink"/><Relationship Id="rId12" Target="https://hcnytq72r1ge.feishu.cn/minutes/obcnfo61feu2wrg32811uwd9?from=ai_minutes" TargetMode="External" Type="http://schemas.openxmlformats.org/officeDocument/2006/relationships/hyperlink"/><Relationship Id="rId13" Target="https://hcnytq72r1ge.feishu.cn/docx/KtV7dfTVvoooVLxsjzJcjtv6nRb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61feu2wrg32811uwd9?t=6000" TargetMode="External" Type="http://schemas.openxmlformats.org/officeDocument/2006/relationships/hyperlink"/><Relationship Id="rId8" Target="https://hcnytq72r1ge.feishu.cn/minutes/obcnfo61feu2wrg32811uwd9?t=208000" TargetMode="External" Type="http://schemas.openxmlformats.org/officeDocument/2006/relationships/hyperlink"/><Relationship Id="rId9" Target="https://hcnytq72r1ge.feishu.cn/minutes/obcnfo61feu2wrg32811uwd9?t=37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2026-01-26T12:35:26Z</dcterms:created>
  <dc:creator>Apache POI</dc:creator>
</cp:coreProperties>
</file>