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智能纪要：21. 理解DISC四个因子升降的原因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会议主题：21. 理解DISC四个因子升降的原因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22:53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03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 DISC 四个因子变化的原因展开，说话人 1 通过多个实例详细阐述了每个因子上升或下降的表现、原因及持久性，强调规划师应掌握识别和理解因子变化的能力，以更好地与客户沟通，内容如下：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 因子变化分析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 因子上升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表现与含义：测试者呈现出比平常更直接、独断的做事态度，意识到所处环境需扮演更独立、自主的风格。例如，担任体育委员为班级参赛，为达目标卯足劲，提升执行力和训练节奏。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持久性分析：D 因子的调整相对不易，若长期维持，说明环境持续有此要求；若原本 D 值不高却强行维持，会给自己造成压力。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 因子下降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表现与含义：测试者会少一些直接和果断的做事态度，意识到所处环境需变得谨慎、顺从。如家庭中婆婆强势，自己需暂时隐藏“老虎”特质，对婆婆的想法少提意见。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持久性分析：这种转换通常是暂时的，因为“老虎”特质较难隐藏，环境改变后会恢复正常。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 因子变化分析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 因子上升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表现与含义：测试者认为所处环境需要更积极的沟通，展示更自信、符合孔雀型的特质。例如接手公司紧急任务，为寻求支持需与各部门跨部门沟通，提升沟通积极性。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持久性分析：若周围环境给予正面反馈和鼓励，I 值可能会稳定下来，甚至在其他状态中也会升高。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 因子下降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表现与含义：测试者意识到所处环境需要更有纪律性、条理性和组织性，需隐藏原本活泼外向的一面。如职场小白刚进入国企，面对诸多规矩和严厉导师，需暂时收起“孔雀”特质。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持久性分析：I 值的隐藏较难长期坚持，因为孔雀天性爱表现，需有倾诉渠道。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 因子变化分析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 因子上升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表现与含义：测试者认为所处环境需要表现出更稳健、成熟、稳重的作风，采取更亲切、包容、接纳的态度。如从开拓新业务的销售岗位调到售后客服岗位，需从“老虎”变成“考拉”，更有耐心应对客户咨询。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持久性分析：若原本是老虎型，这种转变除非激励多，否则不太持久；若原本是偏 C 型，转变可能相对容易。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 因子下降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表现与含义：测试者所处环境要求快速响应，在一定时间内完成任务。如互联网公司业务迭代快，老板要求员工加快节奏，员工需将 S 因子调下来以适应环境。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持久性分析：S 因子下降相对容易适应，是习惯问题；但让原本快的人变慢则有难度。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 因子变化分析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 因子上升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表现与含义：测试者意识到所处环境需要对事实和细节有更高的专注度，谨慎度也会相应提高，可能伴随一些悲观情绪，需遵守流程和规则。如学生从国际学校转学到公办学校，因公办学校条条框框多，自由度低，C 值上升。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持久性分析：C 因子上升的程度与调整幅度有关，离中心越远强度越强。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 因子下降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表现与含义：测试者表现得更随性，认为环境对灵活性要求更高，可能因身边有善变的人或环境标准模糊，需灵活调整。如员工面对新领导交代的任务，无明确标准和流程，只要求按时完成，需放下追求完美的执念，先完成任务。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持久性分析：C 因子下降是为适应环境做出的调整。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对规划师的要求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识别变化</w:t>
      </w:r>
      <w:r>
        <w:rPr>
          <w:rFonts w:eastAsia="等线" w:ascii="Arial" w:cs="Arial" w:hAnsi="Arial"/>
          <w:sz w:val="22"/>
        </w:rPr>
        <w:t>：规划师要能够辨别客户因子的变化，有些变化客户可能有意识，有些可能是无意识的。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挖掘原因</w:t>
      </w:r>
      <w:r>
        <w:rPr>
          <w:rFonts w:eastAsia="等线" w:ascii="Arial" w:cs="Arial" w:hAnsi="Arial"/>
          <w:sz w:val="22"/>
        </w:rPr>
        <w:t>：与客户沟通时，运用所学知识挖掘客户因子变化的原因，这考验规划师的能力。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沟通技巧</w:t>
      </w:r>
      <w:r>
        <w:rPr>
          <w:rFonts w:eastAsia="等线" w:ascii="Arial" w:cs="Arial" w:hAnsi="Arial"/>
          <w:sz w:val="22"/>
        </w:rPr>
        <w:t>：掌握提问技巧，倾听客户需求，管理好客户预期，这在与客户沟通中非常重要。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00:06</w:t>
        </w:r>
      </w:hyperlink>
      <w:r>
        <w:rPr>
          <w:rFonts w:eastAsia="等线" w:ascii="Arial" w:cs="Arial" w:hAnsi="Arial"/>
          <w:b w:val="true"/>
          <w:sz w:val="22"/>
        </w:rPr>
        <w:t xml:space="preserve">  常见因子d变化原因及调整案例解读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常见四个因子中d上升变化的原因。d上升意味着测试者比平常更直接、独断，表明其意识到环境需扮演更独立自主风格。d的调整较难维持，若长期维持可能造成压力。这种变化通常与目标、资源等环境要求有关，还举例担任体育委员为拿第一而调整状态来帮助理解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02:56</w:t>
        </w:r>
      </w:hyperlink>
      <w:r>
        <w:rPr>
          <w:rFonts w:eastAsia="等线" w:ascii="Arial" w:cs="Arial" w:hAnsi="Arial"/>
          <w:b w:val="true"/>
          <w:sz w:val="22"/>
        </w:rPr>
        <w:t xml:space="preserve">  图表中 d 下降解读及行为变化实例说明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对图中“d的下降”的解读。在学习阶段按流程解读，熟练后可灵活对比。压力下“d”稍有下降，意味着行为变化，少了直接果断，变得谨慎顺从。这种调整可能因身边有低指更高的人，是暂时的，如家庭中面对低指高的婆婆，只能暂时隐忍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05:31</w:t>
        </w:r>
      </w:hyperlink>
      <w:r>
        <w:rPr>
          <w:rFonts w:eastAsia="等线" w:ascii="Arial" w:cs="Arial" w:hAnsi="Arial"/>
          <w:b w:val="true"/>
          <w:sz w:val="22"/>
        </w:rPr>
        <w:t xml:space="preserve">  环境影响i值变化及跨部门沟通案例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先以自身为例，说明因长辈需谦让，会藏起“老虎”，婆婆走后又显露。还提到i值上升意味着在所处环境需更积极沟通、展示自信等。若环境给予正面反馈，i值可能稳定上升。最后以接手公司紧急任务为例，说明非积极沟通型的自己为完成任务需提升沟通情况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08:16</w:t>
        </w:r>
      </w:hyperlink>
      <w:r>
        <w:rPr>
          <w:rFonts w:eastAsia="等线" w:ascii="Arial" w:cs="Arial" w:hAnsi="Arial"/>
          <w:b w:val="true"/>
          <w:sz w:val="22"/>
        </w:rPr>
        <w:t xml:space="preserve">  i值下降体现外向者职场隐藏本性难长久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i值下降展开，指出测试者意识到所处环境需更具纪律性和条理性，会试图隐藏原本活泼外向的一面，但难以长期坚持。以职场小白为例，刚毕业进入职场尤其是国企，面对诸多规矩和严厉导师，会暂时收敛个性，但因本性难改，需有倾诉渠道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10:49</w:t>
        </w:r>
      </w:hyperlink>
      <w:r>
        <w:rPr>
          <w:rFonts w:eastAsia="等线" w:ascii="Arial" w:cs="Arial" w:hAnsi="Arial"/>
          <w:b w:val="true"/>
          <w:sz w:val="22"/>
        </w:rPr>
        <w:t xml:space="preserve">  工作岗位转换带来风格变化及持久度分析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s的变化是因环境所需，需表现出成熟、稳健、亲切、包容、接纳的风格。并以工作岗位转变为例，如从新业务销售转到售后客服岗位，就像从老虎型变为考拉（s）型。不过，若原本是老虎型，转变难持久；若原本是偏c型，转解答客服型或许可行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13:25</w:t>
        </w:r>
      </w:hyperlink>
      <w:r>
        <w:rPr>
          <w:rFonts w:eastAsia="等线" w:ascii="Arial" w:cs="Arial" w:hAnsi="Arial"/>
          <w:b w:val="true"/>
          <w:sz w:val="22"/>
        </w:rPr>
        <w:t xml:space="preserve">  S型人格在快慢环境中的适应情况举例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 s 的下降和上升情况。s 下降意味着原本做事慢的人适应快节奏环境，相对容易适应，只是习惯问题，如从慢节奏销售公司到快节奏公司。而 s 上升即让快的人变慢有难度，不一定能持续稳定。还举例互联网公司节奏快，员工需把 s 调下来以跟上环境。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16:42</w:t>
        </w:r>
      </w:hyperlink>
      <w:r>
        <w:rPr>
          <w:rFonts w:eastAsia="等线" w:ascii="Arial" w:cs="Arial" w:hAnsi="Arial"/>
          <w:b w:val="true"/>
          <w:sz w:val="22"/>
        </w:rPr>
        <w:t xml:space="preserve">  c值上升体现谨慎度变化及转学案例解读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了c值上升的相关情况，c值上升表明测试者需对事实和细节有更高专注度，谨慎度也会增强，有时会伴随悲观情绪，且需遵守规则。还举例说明，一个原本在国际学校享受高自由度的孩子转去公办学校后，因条条框框增多、缺乏互动等不适应，导致c值上升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20:03</w:t>
        </w:r>
      </w:hyperlink>
      <w:r>
        <w:rPr>
          <w:rFonts w:eastAsia="等线" w:ascii="Arial" w:cs="Arial" w:hAnsi="Arial"/>
          <w:b w:val="true"/>
          <w:sz w:val="22"/>
        </w:rPr>
        <w:t xml:space="preserve">  C值下降原因及小a适应新领导的调整示例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本章节主要探讨了 c 值下降的可能原因，一是个人认为环境对灵活性要求更高，二是身边有善变的人要求其灵活行事，三是周围标准模糊需灵活调整，四是当下环境无需展示支持性特质。还举例说明，如小 a 新领导布置任务无明确标准和流程，小 a 为适应领导，将“完成胜于完美”，放下执念先完成任务。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22:03</w:t>
        </w:r>
      </w:hyperlink>
      <w:r>
        <w:rPr>
          <w:rFonts w:eastAsia="等线" w:ascii="Arial" w:cs="Arial" w:hAnsi="Arial"/>
          <w:b w:val="true"/>
          <w:sz w:val="22"/>
        </w:rPr>
        <w:t xml:space="preserve">  理解客户因子变化原因及沟通提问技巧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了disk四个因素升降原因需结合不同场景与客户沟通以理解其调整缘由。强调规划师要具备识别变化的能力，挖掘变化原因，运用所学知识了解可能的变化因素，进而与客户沟通、管理预期。同时指出提问技巧很重要，杨洋老师课程会讲到倾听和提问的技巧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因子变化解读</w:t>
      </w:r>
      <w:r>
        <w:rPr>
          <w:rFonts w:eastAsia="等线" w:ascii="Arial" w:cs="Arial" w:hAnsi="Arial"/>
          <w:sz w:val="22"/>
        </w:rPr>
        <w:t>：说话人介绍了 DISC 四个因子（D：老虎型、I：孔雀型、S：考拉型、C：猫头鹰型）上升和下降的原因及表现，并结合具体案例进行说明。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环境影响</w:t>
      </w:r>
      <w:r>
        <w:rPr>
          <w:rFonts w:eastAsia="等线" w:ascii="Arial" w:cs="Arial" w:hAnsi="Arial"/>
          <w:sz w:val="22"/>
        </w:rPr>
        <w:t>：强调因子的变化通常是由环境要求引起的，且不同因子的变化在持续性和适应性上有所不同。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规划师能力要求</w:t>
      </w:r>
      <w:r>
        <w:rPr>
          <w:rFonts w:eastAsia="等线" w:ascii="Arial" w:cs="Arial" w:hAnsi="Arial"/>
          <w:sz w:val="22"/>
        </w:rPr>
        <w:t>：指出规划师需要识别客户因子的变化，挖掘变化原因，运用所学知识与客户沟通，管理好客户预期，同时掌握提问技巧。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「测试者呈现出比平常更直接、独断的做事态度，表明其意识到所处环境需要扮演更独立、自主的风格。」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清晰阐述了 D 因子上升时测试者的表现及背后原因，有助于理解因子变化与环境的关系。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「I 值的上升意味着测试者觉得所处环境需要更积极的沟通，展示更自信、符合孔雀型的特质，若环境给予正面反馈，I 值可能稳定上升。」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准确概括了 I 因子上升的含义和影响因素，对理解该因子变化有重要指导作用。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「了解 DISC 四个因素升降的可能原因，有助于规划师结合不同场景与客户沟通，理解客户做出调整的原因。」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点明了学习因子变化原因的实际应用价值，突出了会议内容的核心要点。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5">
        <w:r>
          <w:rPr>
            <w:rFonts w:eastAsia="等线" w:ascii="Arial" w:cs="Arial" w:hAnsi="Arial"/>
            <w:color w:val="3370ff"/>
            <w:sz w:val="22"/>
          </w:rPr>
          <w:t>21. 理解DISC四个因子升降的原因</w:t>
        </w:r>
      </w:hyperlink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21. 理解DISC四个因子升降的原因 2026年1月22日</w:t>
        </w:r>
      </w:hyperlink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538">
    <w:lvl>
      <w:numFmt w:val="bullet"/>
      <w:suff w:val="tab"/>
      <w:lvlText w:val="•"/>
      <w:rPr>
        <w:color w:val="3370ff"/>
      </w:rPr>
    </w:lvl>
  </w:abstractNum>
  <w:abstractNum w:abstractNumId="20539">
    <w:lvl>
      <w:numFmt w:val="bullet"/>
      <w:suff w:val="tab"/>
      <w:lvlText w:val="￮"/>
      <w:rPr>
        <w:color w:val="3370ff"/>
      </w:rPr>
    </w:lvl>
  </w:abstractNum>
  <w:abstractNum w:abstractNumId="20540">
    <w:lvl>
      <w:numFmt w:val="bullet"/>
      <w:suff w:val="tab"/>
      <w:lvlText w:val="▪"/>
      <w:rPr>
        <w:color w:val="3370ff"/>
        <w:sz w:val="11"/>
      </w:rPr>
    </w:lvl>
  </w:abstractNum>
  <w:abstractNum w:abstractNumId="20541">
    <w:lvl>
      <w:numFmt w:val="bullet"/>
      <w:suff w:val="tab"/>
      <w:lvlText w:val="▪"/>
      <w:rPr>
        <w:color w:val="3370ff"/>
        <w:sz w:val="11"/>
      </w:rPr>
    </w:lvl>
  </w:abstractNum>
  <w:abstractNum w:abstractNumId="20542">
    <w:lvl>
      <w:numFmt w:val="bullet"/>
      <w:suff w:val="tab"/>
      <w:lvlText w:val="￮"/>
      <w:rPr>
        <w:color w:val="3370ff"/>
      </w:rPr>
    </w:lvl>
  </w:abstractNum>
  <w:abstractNum w:abstractNumId="20543">
    <w:lvl>
      <w:numFmt w:val="bullet"/>
      <w:suff w:val="tab"/>
      <w:lvlText w:val="▪"/>
      <w:rPr>
        <w:color w:val="3370ff"/>
        <w:sz w:val="11"/>
      </w:rPr>
    </w:lvl>
  </w:abstractNum>
  <w:abstractNum w:abstractNumId="20544">
    <w:lvl>
      <w:numFmt w:val="bullet"/>
      <w:suff w:val="tab"/>
      <w:lvlText w:val="▪"/>
      <w:rPr>
        <w:color w:val="3370ff"/>
        <w:sz w:val="11"/>
      </w:rPr>
    </w:lvl>
  </w:abstractNum>
  <w:abstractNum w:abstractNumId="20545">
    <w:lvl>
      <w:numFmt w:val="bullet"/>
      <w:suff w:val="tab"/>
      <w:lvlText w:val="•"/>
      <w:rPr>
        <w:color w:val="3370ff"/>
      </w:rPr>
    </w:lvl>
  </w:abstractNum>
  <w:abstractNum w:abstractNumId="20546">
    <w:lvl>
      <w:numFmt w:val="bullet"/>
      <w:suff w:val="tab"/>
      <w:lvlText w:val="￮"/>
      <w:rPr>
        <w:color w:val="3370ff"/>
      </w:rPr>
    </w:lvl>
  </w:abstractNum>
  <w:abstractNum w:abstractNumId="20547">
    <w:lvl>
      <w:numFmt w:val="bullet"/>
      <w:suff w:val="tab"/>
      <w:lvlText w:val="▪"/>
      <w:rPr>
        <w:color w:val="3370ff"/>
        <w:sz w:val="11"/>
      </w:rPr>
    </w:lvl>
  </w:abstractNum>
  <w:abstractNum w:abstractNumId="20548">
    <w:lvl>
      <w:numFmt w:val="bullet"/>
      <w:suff w:val="tab"/>
      <w:lvlText w:val="▪"/>
      <w:rPr>
        <w:color w:val="3370ff"/>
        <w:sz w:val="11"/>
      </w:rPr>
    </w:lvl>
  </w:abstractNum>
  <w:abstractNum w:abstractNumId="20549">
    <w:lvl>
      <w:numFmt w:val="bullet"/>
      <w:suff w:val="tab"/>
      <w:lvlText w:val="￮"/>
      <w:rPr>
        <w:color w:val="3370ff"/>
      </w:rPr>
    </w:lvl>
  </w:abstractNum>
  <w:abstractNum w:abstractNumId="20550">
    <w:lvl>
      <w:numFmt w:val="bullet"/>
      <w:suff w:val="tab"/>
      <w:lvlText w:val="▪"/>
      <w:rPr>
        <w:color w:val="3370ff"/>
        <w:sz w:val="11"/>
      </w:rPr>
    </w:lvl>
  </w:abstractNum>
  <w:abstractNum w:abstractNumId="20551">
    <w:lvl>
      <w:numFmt w:val="bullet"/>
      <w:suff w:val="tab"/>
      <w:lvlText w:val="▪"/>
      <w:rPr>
        <w:color w:val="3370ff"/>
        <w:sz w:val="11"/>
      </w:rPr>
    </w:lvl>
  </w:abstractNum>
  <w:abstractNum w:abstractNumId="20552">
    <w:lvl>
      <w:numFmt w:val="bullet"/>
      <w:suff w:val="tab"/>
      <w:lvlText w:val="•"/>
      <w:rPr>
        <w:color w:val="3370ff"/>
      </w:rPr>
    </w:lvl>
  </w:abstractNum>
  <w:abstractNum w:abstractNumId="20553">
    <w:lvl>
      <w:numFmt w:val="bullet"/>
      <w:suff w:val="tab"/>
      <w:lvlText w:val="￮"/>
      <w:rPr>
        <w:color w:val="3370ff"/>
      </w:rPr>
    </w:lvl>
  </w:abstractNum>
  <w:abstractNum w:abstractNumId="20554">
    <w:lvl>
      <w:numFmt w:val="bullet"/>
      <w:suff w:val="tab"/>
      <w:lvlText w:val="▪"/>
      <w:rPr>
        <w:color w:val="3370ff"/>
        <w:sz w:val="11"/>
      </w:rPr>
    </w:lvl>
  </w:abstractNum>
  <w:abstractNum w:abstractNumId="20555">
    <w:lvl>
      <w:numFmt w:val="bullet"/>
      <w:suff w:val="tab"/>
      <w:lvlText w:val="▪"/>
      <w:rPr>
        <w:color w:val="3370ff"/>
        <w:sz w:val="11"/>
      </w:rPr>
    </w:lvl>
  </w:abstractNum>
  <w:abstractNum w:abstractNumId="20556">
    <w:lvl>
      <w:numFmt w:val="bullet"/>
      <w:suff w:val="tab"/>
      <w:lvlText w:val="￮"/>
      <w:rPr>
        <w:color w:val="3370ff"/>
      </w:rPr>
    </w:lvl>
  </w:abstractNum>
  <w:abstractNum w:abstractNumId="20557">
    <w:lvl>
      <w:numFmt w:val="bullet"/>
      <w:suff w:val="tab"/>
      <w:lvlText w:val="▪"/>
      <w:rPr>
        <w:color w:val="3370ff"/>
        <w:sz w:val="11"/>
      </w:rPr>
    </w:lvl>
  </w:abstractNum>
  <w:abstractNum w:abstractNumId="20558">
    <w:lvl>
      <w:numFmt w:val="bullet"/>
      <w:suff w:val="tab"/>
      <w:lvlText w:val="▪"/>
      <w:rPr>
        <w:color w:val="3370ff"/>
        <w:sz w:val="11"/>
      </w:rPr>
    </w:lvl>
  </w:abstractNum>
  <w:abstractNum w:abstractNumId="20559">
    <w:lvl>
      <w:numFmt w:val="bullet"/>
      <w:suff w:val="tab"/>
      <w:lvlText w:val="•"/>
      <w:rPr>
        <w:color w:val="3370ff"/>
      </w:rPr>
    </w:lvl>
  </w:abstractNum>
  <w:abstractNum w:abstractNumId="20560">
    <w:lvl>
      <w:numFmt w:val="bullet"/>
      <w:suff w:val="tab"/>
      <w:lvlText w:val="￮"/>
      <w:rPr>
        <w:color w:val="3370ff"/>
      </w:rPr>
    </w:lvl>
  </w:abstractNum>
  <w:abstractNum w:abstractNumId="20561">
    <w:lvl>
      <w:numFmt w:val="bullet"/>
      <w:suff w:val="tab"/>
      <w:lvlText w:val="▪"/>
      <w:rPr>
        <w:color w:val="3370ff"/>
        <w:sz w:val="11"/>
      </w:rPr>
    </w:lvl>
  </w:abstractNum>
  <w:abstractNum w:abstractNumId="20562">
    <w:lvl>
      <w:numFmt w:val="bullet"/>
      <w:suff w:val="tab"/>
      <w:lvlText w:val="▪"/>
      <w:rPr>
        <w:color w:val="3370ff"/>
        <w:sz w:val="11"/>
      </w:rPr>
    </w:lvl>
  </w:abstractNum>
  <w:abstractNum w:abstractNumId="20563">
    <w:lvl>
      <w:numFmt w:val="bullet"/>
      <w:suff w:val="tab"/>
      <w:lvlText w:val="￮"/>
      <w:rPr>
        <w:color w:val="3370ff"/>
      </w:rPr>
    </w:lvl>
  </w:abstractNum>
  <w:abstractNum w:abstractNumId="20564">
    <w:lvl>
      <w:numFmt w:val="bullet"/>
      <w:suff w:val="tab"/>
      <w:lvlText w:val="▪"/>
      <w:rPr>
        <w:color w:val="3370ff"/>
        <w:sz w:val="11"/>
      </w:rPr>
    </w:lvl>
  </w:abstractNum>
  <w:abstractNum w:abstractNumId="20565">
    <w:lvl>
      <w:numFmt w:val="bullet"/>
      <w:suff w:val="tab"/>
      <w:lvlText w:val="▪"/>
      <w:rPr>
        <w:color w:val="3370ff"/>
        <w:sz w:val="11"/>
      </w:rPr>
    </w:lvl>
  </w:abstractNum>
  <w:abstractNum w:abstractNumId="20566">
    <w:lvl>
      <w:numFmt w:val="bullet"/>
      <w:suff w:val="tab"/>
      <w:lvlText w:val="•"/>
      <w:rPr>
        <w:color w:val="3370ff"/>
      </w:rPr>
    </w:lvl>
  </w:abstractNum>
  <w:abstractNum w:abstractNumId="20567">
    <w:lvl>
      <w:numFmt w:val="bullet"/>
      <w:suff w:val="tab"/>
      <w:lvlText w:val="￮"/>
      <w:rPr>
        <w:color w:val="3370ff"/>
      </w:rPr>
    </w:lvl>
  </w:abstractNum>
  <w:abstractNum w:abstractNumId="20568">
    <w:lvl>
      <w:numFmt w:val="bullet"/>
      <w:suff w:val="tab"/>
      <w:lvlText w:val="￮"/>
      <w:rPr>
        <w:color w:val="3370ff"/>
      </w:rPr>
    </w:lvl>
  </w:abstractNum>
  <w:abstractNum w:abstractNumId="20569">
    <w:lvl>
      <w:numFmt w:val="bullet"/>
      <w:suff w:val="tab"/>
      <w:lvlText w:val="￮"/>
      <w:rPr>
        <w:color w:val="3370ff"/>
      </w:rPr>
    </w:lvl>
  </w:abstractNum>
  <w:abstractNum w:abstractNumId="20570">
    <w:lvl>
      <w:numFmt w:val="bullet"/>
      <w:suff w:val="tab"/>
      <w:lvlText w:val="•"/>
      <w:rPr>
        <w:color w:val="3370ff"/>
      </w:rPr>
    </w:lvl>
  </w:abstractNum>
  <w:abstractNum w:abstractNumId="20571">
    <w:lvl>
      <w:numFmt w:val="bullet"/>
      <w:suff w:val="tab"/>
      <w:lvlText w:val="•"/>
      <w:rPr>
        <w:color w:val="3370ff"/>
      </w:rPr>
    </w:lvl>
  </w:abstractNum>
  <w:abstractNum w:abstractNumId="20572">
    <w:lvl>
      <w:numFmt w:val="bullet"/>
      <w:suff w:val="tab"/>
      <w:lvlText w:val="•"/>
      <w:rPr>
        <w:color w:val="3370ff"/>
      </w:rPr>
    </w:lvl>
  </w:abstractNum>
  <w:abstractNum w:abstractNumId="20573">
    <w:lvl>
      <w:numFmt w:val="bullet"/>
      <w:suff w:val="tab"/>
      <w:lvlText w:val="•"/>
      <w:rPr>
        <w:color w:val="3370ff"/>
      </w:rPr>
    </w:lvl>
  </w:abstractNum>
  <w:abstractNum w:abstractNumId="20574">
    <w:lvl>
      <w:numFmt w:val="bullet"/>
      <w:suff w:val="tab"/>
      <w:lvlText w:val="•"/>
      <w:rPr>
        <w:color w:val="3370ff"/>
      </w:rPr>
    </w:lvl>
  </w:abstractNum>
  <w:abstractNum w:abstractNumId="20575">
    <w:lvl>
      <w:numFmt w:val="bullet"/>
      <w:suff w:val="tab"/>
      <w:lvlText w:val="￮"/>
      <w:rPr>
        <w:color w:val="3370ff"/>
      </w:rPr>
    </w:lvl>
  </w:abstractNum>
  <w:num w:numId="1">
    <w:abstractNumId w:val="20538"/>
  </w:num>
  <w:num w:numId="2">
    <w:abstractNumId w:val="20539"/>
  </w:num>
  <w:num w:numId="3">
    <w:abstractNumId w:val="20540"/>
  </w:num>
  <w:num w:numId="4">
    <w:abstractNumId w:val="20541"/>
  </w:num>
  <w:num w:numId="5">
    <w:abstractNumId w:val="20542"/>
  </w:num>
  <w:num w:numId="6">
    <w:abstractNumId w:val="20543"/>
  </w:num>
  <w:num w:numId="7">
    <w:abstractNumId w:val="20544"/>
  </w:num>
  <w:num w:numId="8">
    <w:abstractNumId w:val="20545"/>
  </w:num>
  <w:num w:numId="9">
    <w:abstractNumId w:val="20546"/>
  </w:num>
  <w:num w:numId="10">
    <w:abstractNumId w:val="20547"/>
  </w:num>
  <w:num w:numId="11">
    <w:abstractNumId w:val="20548"/>
  </w:num>
  <w:num w:numId="12">
    <w:abstractNumId w:val="20549"/>
  </w:num>
  <w:num w:numId="13">
    <w:abstractNumId w:val="20550"/>
  </w:num>
  <w:num w:numId="14">
    <w:abstractNumId w:val="20551"/>
  </w:num>
  <w:num w:numId="15">
    <w:abstractNumId w:val="20552"/>
  </w:num>
  <w:num w:numId="16">
    <w:abstractNumId w:val="20553"/>
  </w:num>
  <w:num w:numId="17">
    <w:abstractNumId w:val="20554"/>
  </w:num>
  <w:num w:numId="18">
    <w:abstractNumId w:val="20555"/>
  </w:num>
  <w:num w:numId="19">
    <w:abstractNumId w:val="20556"/>
  </w:num>
  <w:num w:numId="20">
    <w:abstractNumId w:val="20557"/>
  </w:num>
  <w:num w:numId="21">
    <w:abstractNumId w:val="20558"/>
  </w:num>
  <w:num w:numId="22">
    <w:abstractNumId w:val="20559"/>
  </w:num>
  <w:num w:numId="23">
    <w:abstractNumId w:val="20560"/>
  </w:num>
  <w:num w:numId="24">
    <w:abstractNumId w:val="20561"/>
  </w:num>
  <w:num w:numId="25">
    <w:abstractNumId w:val="20562"/>
  </w:num>
  <w:num w:numId="26">
    <w:abstractNumId w:val="20563"/>
  </w:num>
  <w:num w:numId="27">
    <w:abstractNumId w:val="20564"/>
  </w:num>
  <w:num w:numId="28">
    <w:abstractNumId w:val="20565"/>
  </w:num>
  <w:num w:numId="29">
    <w:abstractNumId w:val="20566"/>
  </w:num>
  <w:num w:numId="30">
    <w:abstractNumId w:val="20567"/>
  </w:num>
  <w:num w:numId="31">
    <w:abstractNumId w:val="20568"/>
  </w:num>
  <w:num w:numId="32">
    <w:abstractNumId w:val="20569"/>
  </w:num>
  <w:num w:numId="33">
    <w:abstractNumId w:val="20570"/>
  </w:num>
  <w:num w:numId="34">
    <w:abstractNumId w:val="20571"/>
  </w:num>
  <w:num w:numId="35">
    <w:abstractNumId w:val="20572"/>
  </w:num>
  <w:num w:numId="36">
    <w:abstractNumId w:val="20573"/>
  </w:num>
  <w:num w:numId="37">
    <w:abstractNumId w:val="20574"/>
  </w:num>
  <w:num w:numId="38">
    <w:abstractNumId w:val="205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5e2e8rfxfw4a2l5msf?t=649000" TargetMode="External" Type="http://schemas.openxmlformats.org/officeDocument/2006/relationships/hyperlink"/><Relationship Id="rId11" Target="https://hcnytq72r1ge.feishu.cn/minutes/obcnfo5e2e8rfxfw4a2l5msf?t=805000" TargetMode="External" Type="http://schemas.openxmlformats.org/officeDocument/2006/relationships/hyperlink"/><Relationship Id="rId12" Target="https://hcnytq72r1ge.feishu.cn/minutes/obcnfo5e2e8rfxfw4a2l5msf?t=1002000" TargetMode="External" Type="http://schemas.openxmlformats.org/officeDocument/2006/relationships/hyperlink"/><Relationship Id="rId13" Target="https://hcnytq72r1ge.feishu.cn/minutes/obcnfo5e2e8rfxfw4a2l5msf?t=1203000" TargetMode="External" Type="http://schemas.openxmlformats.org/officeDocument/2006/relationships/hyperlink"/><Relationship Id="rId14" Target="https://hcnytq72r1ge.feishu.cn/minutes/obcnfo5e2e8rfxfw4a2l5msf?t=1323000" TargetMode="External" Type="http://schemas.openxmlformats.org/officeDocument/2006/relationships/hyperlink"/><Relationship Id="rId15" Target="https://hcnytq72r1ge.feishu.cn/minutes/obcnfo5e2e8rfxfw4a2l5msf?from=ai_minutes" TargetMode="External" Type="http://schemas.openxmlformats.org/officeDocument/2006/relationships/hyperlink"/><Relationship Id="rId16" Target="https://hcnytq72r1ge.feishu.cn/docx/SJ7XdxRl2oPreyxPHZ6cCx6knQ2" TargetMode="External" Type="http://schemas.openxmlformats.org/officeDocument/2006/relationships/hyperlink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hcnytq72r1ge.feishu.cn/minutes/obcnfo5e2e8rfxfw4a2l5msf?t=6000" TargetMode="External" Type="http://schemas.openxmlformats.org/officeDocument/2006/relationships/hyperlink"/><Relationship Id="rId7" Target="https://hcnytq72r1ge.feishu.cn/minutes/obcnfo5e2e8rfxfw4a2l5msf?t=176000" TargetMode="External" Type="http://schemas.openxmlformats.org/officeDocument/2006/relationships/hyperlink"/><Relationship Id="rId8" Target="https://hcnytq72r1ge.feishu.cn/minutes/obcnfo5e2e8rfxfw4a2l5msf?t=331000" TargetMode="External" Type="http://schemas.openxmlformats.org/officeDocument/2006/relationships/hyperlink"/><Relationship Id="rId9" Target="https://hcnytq72r1ge.feishu.cn/minutes/obcnfo5e2e8rfxfw4a2l5msf?t=496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2026-01-26T12:36:10Z</dcterms:created>
  <dc:creator>Apache POI</dc:creator>
</cp:coreProperties>
</file>