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智能纪要：25. DISC报告解读顺序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会议主题：25. DISC报告解读顺序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22:55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0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会议围绕报告解读顺序及方法展开，说话人 1 详细介绍了报告解读的步骤、特殊情况处理及注意事项，内容如下：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报告解读步骤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第一步：通篇浏览与关注重点</w:t>
      </w:r>
      <w:r>
        <w:rPr>
          <w:rFonts w:eastAsia="等线" w:ascii="Arial" w:cs="Arial" w:hAnsi="Arial"/>
          <w:sz w:val="22"/>
        </w:rPr>
        <w:t>：拿到报告后快速通篇浏览，查看有无需要关注的信息。若对特殊图形熟悉，先看 1 - 3 的特殊状态图，再看 4 - 7 的特别行为；若对状态记不清，需提前看报告做准备，先通过报告判断人的状态，再解读行为。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第二步：查看行为特征</w:t>
      </w:r>
      <w:r>
        <w:rPr>
          <w:rFonts w:eastAsia="等线" w:ascii="Arial" w:cs="Arial" w:hAnsi="Arial"/>
          <w:sz w:val="22"/>
        </w:rPr>
        <w:t>：查看报告中人员的行为特征、消极因素、喜欢和不喜欢的互动方式、销售风格等。若经验丰富，此步骤可忽略。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第三步：解读三幅图</w:t>
      </w:r>
      <w:r>
        <w:rPr>
          <w:rFonts w:eastAsia="等线" w:ascii="Arial" w:cs="Arial" w:hAnsi="Arial"/>
          <w:sz w:val="22"/>
        </w:rPr>
        <w:t>：按照特定顺序解读三幅图，对比因子之间的高低、升降变化。遇到全缩不影响解读顺序，全上移或全下移出现在真实的我中时，按压力下的我进行解读。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第四步：综合解读因子变化</w:t>
      </w:r>
      <w:r>
        <w:rPr>
          <w:rFonts w:eastAsia="等线" w:ascii="Arial" w:cs="Arial" w:hAnsi="Arial"/>
          <w:sz w:val="22"/>
        </w:rPr>
        <w:t>：查看几幅图升和降因子的变化进行解读，这考验对所学基本含义的综合运用能力，不仅要解读升降，还要了解每个因子的意思、变化及可能带来的行为、肢体语言、情绪反应的变化，同时要使用正确的描述词。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057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报告解读步骤时序图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报告解读顺序及第一步、第二步要点说明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报告解读顺序。首先要快速通篇浏览报告，关注所需信息；若熟悉特殊图形，先看1 - 3的特殊状态图，再看4 - 7的特别行为，若对状态记不清，需提前看报告准备，先看状态再解读行为；第二步是查看行为特征、消极因素，以及喜欢和不喜欢的互动方式、销售风格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01:44</w:t>
        </w:r>
      </w:hyperlink>
      <w:r>
        <w:rPr>
          <w:rFonts w:eastAsia="等线" w:ascii="Arial" w:cs="Arial" w:hAnsi="Arial"/>
          <w:b w:val="true"/>
          <w:sz w:val="22"/>
        </w:rPr>
        <w:t xml:space="preserve">  解读三幅图顺序及特殊情况处理方法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解读步骤及要点。时间久了可忽略某一步，第三步是按特定顺序解读三幅图，通过对比看因子间高低、升降变化。若遇到全缩情况，不影响解读顺序；当全上移或全下移出现在真实的“我”中时，按压力下的“我”进行解读，记住这点即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02:32</w:t>
        </w:r>
      </w:hyperlink>
      <w:r>
        <w:rPr>
          <w:rFonts w:eastAsia="等线" w:ascii="Arial" w:cs="Arial" w:hAnsi="Arial"/>
          <w:b w:val="true"/>
          <w:sz w:val="22"/>
        </w:rPr>
        <w:t xml:space="preserve">  第四步看图解读及综合能力考验提示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第四步的内容，即查看几幅图中升和降因子的变化并进行解读。若熟练，可直接进行此步骤。这一步考验大家的综合能力，需运用之前所学基础知识，不仅要解读升降，还需了解每个因子的含义、变化内容及可能引发的行为、肢体语言和情绪反应变化，同时提醒使用正确描述词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：按照特定顺序解读报告，先通篇浏览报告，再根据自身对报告内容的熟悉程度选择合适的查看步骤，最后解读图中因子的升降变化。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：如何正确解读一份报告。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 1 提出，拿到报告先通篇浏览，若熟悉特殊图形，先看特殊状态图再看行为；若对状态记不清楚，提前看报告做准备，先看状态再解读行为；接着看行为特征、消极因素等；然后按特定顺序解读三幅图，对比因子变化；遇到特定情况按压力下的我解读；熟练时可直接看几幅图因子的升降变化进行解读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：无明确提及，根据报告解读的逻辑和经验总结得出。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提醒大家解读时使用正确的描述词。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「拿到一份报告，应先快速通篇浏览，查看有无需要关注的信息。」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明确了报告解读的第一步，为后续解读提供基础，突出了会议主题中报告解读的起始要点。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「先通过报告看一个人的状态，再去解读其行为，因为看状态能更直观，而解读行为可能还需与本人确认。」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阐述了报告解读中状态和行为解读的先后顺序及原因，具有独特洞察，能引发对报告解读方法的思考。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「解读图中因子的升降变化时，考验的是大家对所学基本含义的综合运用能力，不仅要解读升降，还要知道每个因子的意思、变化内容以及可能引发的行为、肢体语言和情绪反应的变化。」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强调了解读报告关键环节的要点，突出了会议主题核心观点，能让读者快速理解报告解读的难点和重点。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25. DISC报告解读顺序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25. DISC报告解读顺序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1874">
    <w:lvl>
      <w:numFmt w:val="bullet"/>
      <w:suff w:val="tab"/>
      <w:lvlText w:val="•"/>
      <w:rPr>
        <w:color w:val="3370ff"/>
      </w:rPr>
    </w:lvl>
  </w:abstractNum>
  <w:abstractNum w:abstractNumId="261875">
    <w:lvl>
      <w:numFmt w:val="bullet"/>
      <w:suff w:val="tab"/>
      <w:lvlText w:val="￮"/>
      <w:rPr>
        <w:color w:val="3370ff"/>
      </w:rPr>
    </w:lvl>
  </w:abstractNum>
  <w:abstractNum w:abstractNumId="261876">
    <w:lvl>
      <w:numFmt w:val="bullet"/>
      <w:suff w:val="tab"/>
      <w:lvlText w:val="￮"/>
      <w:rPr>
        <w:color w:val="3370ff"/>
      </w:rPr>
    </w:lvl>
  </w:abstractNum>
  <w:abstractNum w:abstractNumId="261877">
    <w:lvl>
      <w:numFmt w:val="bullet"/>
      <w:suff w:val="tab"/>
      <w:lvlText w:val="￮"/>
      <w:rPr>
        <w:color w:val="3370ff"/>
      </w:rPr>
    </w:lvl>
  </w:abstractNum>
  <w:abstractNum w:abstractNumId="261878">
    <w:lvl>
      <w:numFmt w:val="bullet"/>
      <w:suff w:val="tab"/>
      <w:lvlText w:val="￮"/>
      <w:rPr>
        <w:color w:val="3370ff"/>
      </w:rPr>
    </w:lvl>
  </w:abstractNum>
  <w:abstractNum w:abstractNumId="261879">
    <w:lvl>
      <w:numFmt w:val="bullet"/>
      <w:suff w:val="tab"/>
      <w:lvlText w:val="•"/>
      <w:rPr>
        <w:color w:val="3370ff"/>
      </w:rPr>
    </w:lvl>
  </w:abstractNum>
  <w:abstractNum w:abstractNumId="261880">
    <w:lvl>
      <w:numFmt w:val="bullet"/>
      <w:suff w:val="tab"/>
      <w:lvlText w:val="￮"/>
      <w:rPr>
        <w:color w:val="3370ff"/>
      </w:rPr>
    </w:lvl>
  </w:abstractNum>
  <w:abstractNum w:abstractNumId="261881">
    <w:lvl>
      <w:numFmt w:val="bullet"/>
      <w:suff w:val="tab"/>
      <w:lvlText w:val="￮"/>
      <w:rPr>
        <w:color w:val="3370ff"/>
      </w:rPr>
    </w:lvl>
  </w:abstractNum>
  <w:abstractNum w:abstractNumId="261882">
    <w:lvl>
      <w:numFmt w:val="bullet"/>
      <w:suff w:val="tab"/>
      <w:lvlText w:val="￮"/>
      <w:rPr>
        <w:color w:val="3370ff"/>
      </w:rPr>
    </w:lvl>
  </w:abstractNum>
  <w:abstractNum w:abstractNumId="261883">
    <w:lvl>
      <w:numFmt w:val="bullet"/>
      <w:suff w:val="tab"/>
      <w:lvlText w:val="•"/>
      <w:rPr>
        <w:color w:val="3370ff"/>
      </w:rPr>
    </w:lvl>
  </w:abstractNum>
  <w:abstractNum w:abstractNumId="261884">
    <w:lvl>
      <w:start w:val="1"/>
      <w:numFmt w:val="lowerLetter"/>
      <w:suff w:val="tab"/>
      <w:lvlText w:val="%1."/>
      <w:rPr>
        <w:color w:val="3370ff"/>
      </w:rPr>
    </w:lvl>
  </w:abstractNum>
  <w:abstractNum w:abstractNumId="261885">
    <w:lvl>
      <w:numFmt w:val="bullet"/>
      <w:suff w:val="tab"/>
      <w:lvlText w:val="•"/>
      <w:rPr>
        <w:color w:val="3370ff"/>
      </w:rPr>
    </w:lvl>
  </w:abstractNum>
  <w:abstractNum w:abstractNumId="261886">
    <w:lvl>
      <w:numFmt w:val="bullet"/>
      <w:suff w:val="tab"/>
      <w:lvlText w:val="•"/>
      <w:rPr>
        <w:color w:val="3370ff"/>
      </w:rPr>
    </w:lvl>
  </w:abstractNum>
  <w:abstractNum w:abstractNumId="261887">
    <w:lvl>
      <w:numFmt w:val="bullet"/>
      <w:suff w:val="tab"/>
      <w:lvlText w:val="￮"/>
      <w:rPr>
        <w:color w:val="3370ff"/>
      </w:rPr>
    </w:lvl>
  </w:abstractNum>
  <w:num w:numId="1">
    <w:abstractNumId w:val="261874"/>
  </w:num>
  <w:num w:numId="2">
    <w:abstractNumId w:val="261875"/>
  </w:num>
  <w:num w:numId="3">
    <w:abstractNumId w:val="261876"/>
  </w:num>
  <w:num w:numId="4">
    <w:abstractNumId w:val="261877"/>
  </w:num>
  <w:num w:numId="5">
    <w:abstractNumId w:val="261878"/>
  </w:num>
  <w:num w:numId="6">
    <w:abstractNumId w:val="261879"/>
  </w:num>
  <w:num w:numId="7">
    <w:abstractNumId w:val="261880"/>
  </w:num>
  <w:num w:numId="8">
    <w:abstractNumId w:val="261881"/>
  </w:num>
  <w:num w:numId="9">
    <w:abstractNumId w:val="261882"/>
  </w:num>
  <w:num w:numId="10">
    <w:abstractNumId w:val="261883"/>
  </w:num>
  <w:num w:numId="11">
    <w:abstractNumId w:val="261884"/>
  </w:num>
  <w:num w:numId="12">
    <w:abstractNumId w:val="261885"/>
  </w:num>
  <w:num w:numId="13">
    <w:abstractNumId w:val="261886"/>
  </w:num>
  <w:num w:numId="14">
    <w:abstractNumId w:val="2618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96f39udz4ecl8sxl98?from=ai_minutes" TargetMode="External" Type="http://schemas.openxmlformats.org/officeDocument/2006/relationships/hyperlink"/><Relationship Id="rId11" Target="https://hcnytq72r1ge.feishu.cn/docx/LRlAdUUXvoXed3x6zyScGJxonye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96f39udz4ecl8sxl98?t=5000" TargetMode="External" Type="http://schemas.openxmlformats.org/officeDocument/2006/relationships/hyperlink"/><Relationship Id="rId8" Target="https://hcnytq72r1ge.feishu.cn/minutes/obcnfo96f39udz4ecl8sxl98?t=104000" TargetMode="External" Type="http://schemas.openxmlformats.org/officeDocument/2006/relationships/hyperlink"/><Relationship Id="rId9" Target="https://hcnytq72r1ge.feishu.cn/minutes/obcnfo96f39udz4ecl8sxl98?t=152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2026-01-26T12:40:06Z</dcterms:created>
  <dc:creator>Apache POI</dc:creator>
</cp:coreProperties>
</file>