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智能纪要：26. 深刻理解环境对“人”的影响 2026年1月22日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会议主题：26. 深刻理解环境对“人”的影响</w:t>
            </w:r>
          </w:p>
          <w:p>
            <w:pPr>
              <w:spacing w:before="120" w:after="120" w:line="288" w:lineRule="auto"/>
              <w:ind w:left="0"/>
              <w:jc w:val="left"/>
            </w:pPr>
            <w:r>
              <w:rPr>
                <w:rFonts w:eastAsia="等线" w:ascii="Arial" w:cs="Arial" w:hAnsi="Arial"/>
                <w:color w:val="646a73"/>
                <w:sz w:val="22"/>
              </w:rPr>
              <w:t>上传时间：1月22号（周四） 22:55 （GMT+08）</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智能纪要由 AI 生成，可能不准确，请谨慎甄别后使用</w:t>
            </w:r>
          </w:p>
        </w:tc>
      </w:tr>
    </w:tbl>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总结</w:t>
      </w:r>
      <w:bookmarkEnd w:id="0"/>
    </w:p>
    <w:p>
      <w:pPr>
        <w:spacing w:before="120" w:after="120" w:line="288" w:lineRule="auto"/>
        <w:ind w:left="0"/>
        <w:jc w:val="center"/>
      </w:pPr>
      <w:r>
        <w:drawing>
          <wp:inline distT="0" distR="0" distB="0" distL="0">
            <wp:extent cx="5257800" cy="34004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34004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本次会议围绕环境对人的影响、DISC 测评的优缺点以及家长与孩子的互动方式等内容展开讨论，强调环境和人相互作用的重要性，介绍 DISC 测评特点，提醒家长调整教育方式以促进孩子成长，内容如下：</w:t>
      </w:r>
    </w:p>
    <w:p>
      <w:pPr>
        <w:numPr>
          <w:numId w:val="1"/>
        </w:numPr>
        <w:spacing w:before="120" w:after="120" w:line="288" w:lineRule="auto"/>
        <w:ind w:left="0"/>
        <w:jc w:val="left"/>
      </w:pPr>
      <w:r>
        <w:rPr>
          <w:rFonts w:eastAsia="等线" w:ascii="Arial" w:cs="Arial" w:hAnsi="Arial"/>
          <w:b w:val="true"/>
          <w:sz w:val="22"/>
        </w:rPr>
        <w:t>环境对人的影响</w:t>
      </w:r>
    </w:p>
    <w:p>
      <w:pPr>
        <w:numPr>
          <w:numId w:val="2"/>
        </w:numPr>
        <w:spacing w:before="120" w:after="120" w:line="288" w:lineRule="auto"/>
        <w:ind w:left="453"/>
        <w:jc w:val="left"/>
      </w:pPr>
      <w:r>
        <w:rPr>
          <w:rFonts w:eastAsia="等线" w:ascii="Arial" w:cs="Arial" w:hAnsi="Arial"/>
          <w:b w:val="true"/>
          <w:sz w:val="22"/>
        </w:rPr>
        <w:t>孟母三迁案例</w:t>
      </w:r>
    </w:p>
    <w:tbl>
      <w:tblPr>
        <w:tblW w:w="0" w:type="auto"/>
        <w:tblInd w:w="907" w:type="dxa"/>
        <w:tblBorders>
          <w:top w:val="none" w:space="4"/>
          <w:left w:val="none" w:space="4"/>
          <w:bottom w:val="none" w:space="4"/>
          <w:right w:val="none" w:space="4"/>
          <w:insideH w:val="none" w:space="4"/>
          <w:insideV w:val="none" w:space="4"/>
        </w:tblBorders>
        <w:tblLayout w:type="fixed"/>
      </w:tblPr>
      <w:tblGrid>
        <w:gridCol w:w="4554"/>
        <w:gridCol w:w="3726"/>
      </w:tblGrid>
      <w:tr>
        <w:tc>
          <w:tcPr>
            <w:tcW w:w="4554" w:type="dxa"/>
            <w:tcMar>
              <w:top w:type="dxa" w:w="60"/>
              <w:left w:type="dxa" w:w="120"/>
              <w:bottom w:type="dxa" w:w="30"/>
              <w:right w:type="dxa" w:w="120"/>
            </w:tcMar>
          </w:tcPr>
          <w:p>
            <w:pPr>
              <w:numPr>
                <w:numId w:val="3"/>
              </w:numPr>
              <w:spacing w:before="120" w:after="120" w:line="288" w:lineRule="auto"/>
              <w:ind w:left="0"/>
              <w:jc w:val="left"/>
            </w:pPr>
            <w:r>
              <w:rPr>
                <w:rFonts w:eastAsia="等线" w:ascii="Arial" w:cs="Arial" w:hAnsi="Arial"/>
                <w:sz w:val="22"/>
              </w:rPr>
              <w:t>案例详情：说话人 1 以孟母三迁为例，阐述环境对人的影响。孟子小时候受不同居住环境影响，行为和性格发生变化，从模仿丧事、学做生意到变得有秩序、爱读书，说明好的环境对孩子成长至关重要。</w:t>
            </w:r>
          </w:p>
          <w:p>
            <w:pPr>
              <w:numPr>
                <w:numId w:val="4"/>
              </w:numPr>
              <w:spacing w:before="120" w:after="120" w:line="288" w:lineRule="auto"/>
              <w:ind w:left="0"/>
              <w:jc w:val="left"/>
            </w:pPr>
            <w:r>
              <w:rPr>
                <w:rFonts w:eastAsia="等线" w:ascii="Arial" w:cs="Arial" w:hAnsi="Arial"/>
                <w:sz w:val="22"/>
              </w:rPr>
              <w:t>现实启示：如今很多家长为孩子购买学位房，注重教育环境，体现了人们对良好环境的追求和选择。</w:t>
            </w:r>
          </w:p>
        </w:tc>
        <w:tc>
          <w:tcPr>
            <w:tcW w:w="3726" w:type="dxa"/>
            <w:tcMar>
              <w:top w:type="dxa" w:w="60"/>
              <w:left w:type="dxa" w:w="120"/>
              <w:bottom w:type="dxa" w:w="30"/>
              <w:right w:type="dxa" w:w="120"/>
            </w:tcMar>
          </w:tcPr>
          <w:p>
            <w:pPr>
              <w:spacing w:before="120" w:after="120" w:line="288" w:lineRule="auto"/>
              <w:ind w:left="0"/>
              <w:jc w:val="center"/>
            </w:pPr>
            <w:r>
              <w:drawing>
                <wp:inline distT="0" distR="0" distB="0" distL="0">
                  <wp:extent cx="2209800" cy="7715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2209800" cy="7715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孟母三迁环境变化与行为影响</w:t>
              <w:br/>
            </w:r>
          </w:p>
        </w:tc>
      </w:tr>
    </w:tbl>
    <w:p>
      <w:pPr>
        <w:numPr>
          <w:numId w:val="5"/>
        </w:numPr>
        <w:spacing w:before="120" w:after="120" w:line="288" w:lineRule="auto"/>
        <w:ind w:left="453"/>
        <w:jc w:val="left"/>
      </w:pPr>
      <w:r>
        <w:rPr>
          <w:rFonts w:eastAsia="等线" w:ascii="Arial" w:cs="Arial" w:hAnsi="Arial"/>
          <w:b w:val="true"/>
          <w:sz w:val="22"/>
        </w:rPr>
        <w:t>斯坦福监狱实验</w:t>
      </w:r>
    </w:p>
    <w:p>
      <w:pPr>
        <w:numPr>
          <w:numId w:val="6"/>
        </w:numPr>
        <w:spacing w:before="120" w:after="120" w:line="288" w:lineRule="auto"/>
        <w:ind w:left="907"/>
        <w:jc w:val="left"/>
      </w:pPr>
      <w:r>
        <w:rPr>
          <w:rFonts w:eastAsia="等线" w:ascii="Arial" w:cs="Arial" w:hAnsi="Arial"/>
          <w:sz w:val="22"/>
        </w:rPr>
        <w:t>实验内容：说话人 2 介绍斯坦福监狱实验，心理学家菲利普·金新巴多在 1971 年模拟监狱环境，招募学生分别扮演狱警和囚犯，实验仅进行 6 天就因情况失控而被迫结束。</w:t>
      </w:r>
    </w:p>
    <w:p>
      <w:pPr>
        <w:numPr>
          <w:numId w:val="7"/>
        </w:numPr>
        <w:spacing w:before="120" w:after="120" w:line="288" w:lineRule="auto"/>
        <w:ind w:left="907"/>
        <w:jc w:val="left"/>
      </w:pPr>
      <w:r>
        <w:rPr>
          <w:rFonts w:eastAsia="等线" w:ascii="Arial" w:cs="Arial" w:hAnsi="Arial"/>
          <w:sz w:val="22"/>
        </w:rPr>
        <w:t>实验启示：该实验表明环境能改变人的心智和思维模式，人在特定环境中会逐渐失去自我，行为发生巨大变化。</w:t>
      </w:r>
    </w:p>
    <w:p>
      <w:pPr>
        <w:numPr>
          <w:numId w:val="8"/>
        </w:numPr>
        <w:spacing w:before="120" w:after="120" w:line="288" w:lineRule="auto"/>
        <w:ind w:left="453"/>
        <w:jc w:val="left"/>
      </w:pPr>
      <w:r>
        <w:rPr>
          <w:rFonts w:eastAsia="等线" w:ascii="Arial" w:cs="Arial" w:hAnsi="Arial"/>
          <w:b w:val="true"/>
          <w:sz w:val="22"/>
        </w:rPr>
        <w:t>环境与人的相互作用</w:t>
      </w:r>
    </w:p>
    <w:p>
      <w:pPr>
        <w:numPr>
          <w:numId w:val="9"/>
        </w:numPr>
        <w:spacing w:before="120" w:after="120" w:line="288" w:lineRule="auto"/>
        <w:ind w:left="907"/>
        <w:jc w:val="left"/>
      </w:pPr>
      <w:r>
        <w:rPr>
          <w:rFonts w:eastAsia="等线" w:ascii="Arial" w:cs="Arial" w:hAnsi="Arial"/>
          <w:sz w:val="22"/>
        </w:rPr>
        <w:t>人受环境和他人影响：环境中的人对我们影响很大，如孩子受身边朋友学习氛围刺激而热爱学习，说明周围人的行为和态度能激励或影响我们。</w:t>
      </w:r>
    </w:p>
    <w:p>
      <w:pPr>
        <w:numPr>
          <w:numId w:val="10"/>
        </w:numPr>
        <w:spacing w:before="120" w:after="120" w:line="288" w:lineRule="auto"/>
        <w:ind w:left="907"/>
        <w:jc w:val="left"/>
      </w:pPr>
      <w:r>
        <w:rPr>
          <w:rFonts w:eastAsia="等线" w:ascii="Arial" w:cs="Arial" w:hAnsi="Arial"/>
          <w:sz w:val="22"/>
        </w:rPr>
        <w:t>服务孩子需关注周边：在帮助孩子时，不能忽视其身边的人，如父母不配合服务，仅改变孩子本身可能效果不佳，尤其在孩子心智成长阶段，需联合其身边人共同解决问题。</w:t>
      </w:r>
    </w:p>
    <w:p>
      <w:pPr>
        <w:numPr>
          <w:numId w:val="11"/>
        </w:numPr>
        <w:spacing w:before="120" w:after="120" w:line="288" w:lineRule="auto"/>
        <w:ind w:left="0"/>
        <w:jc w:val="left"/>
      </w:pPr>
      <w:r>
        <w:rPr>
          <w:rFonts w:eastAsia="等线" w:ascii="Arial" w:cs="Arial" w:hAnsi="Arial"/>
          <w:b w:val="true"/>
          <w:sz w:val="22"/>
        </w:rPr>
        <w:t>DISC 测评分析</w:t>
      </w:r>
    </w:p>
    <w:p>
      <w:pPr>
        <w:numPr>
          <w:numId w:val="12"/>
        </w:numPr>
        <w:spacing w:before="120" w:after="120" w:line="288" w:lineRule="auto"/>
        <w:ind w:left="453"/>
        <w:jc w:val="left"/>
      </w:pPr>
      <w:r>
        <w:rPr>
          <w:rFonts w:eastAsia="等线" w:ascii="Arial" w:cs="Arial" w:hAnsi="Arial"/>
          <w:b w:val="true"/>
          <w:sz w:val="22"/>
        </w:rPr>
        <w:t>测评优点</w:t>
      </w:r>
    </w:p>
    <w:p>
      <w:pPr>
        <w:numPr>
          <w:numId w:val="13"/>
        </w:numPr>
        <w:spacing w:before="120" w:after="120" w:line="288" w:lineRule="auto"/>
        <w:ind w:left="907"/>
        <w:jc w:val="left"/>
      </w:pPr>
      <w:r>
        <w:rPr>
          <w:rFonts w:eastAsia="等线" w:ascii="Arial" w:cs="Arial" w:hAnsi="Arial"/>
          <w:sz w:val="22"/>
        </w:rPr>
        <w:t>受迫性选项精准：DISC 专业版本采用受迫性选项，虽有人觉得纠结，但相对主观答题的测评，其精准度更高，能在一定程度上防止撒谎，自适应计算使其结果更客观准确。</w:t>
      </w:r>
    </w:p>
    <w:p>
      <w:pPr>
        <w:numPr>
          <w:numId w:val="14"/>
        </w:numPr>
        <w:spacing w:before="120" w:after="120" w:line="288" w:lineRule="auto"/>
        <w:ind w:left="907"/>
        <w:jc w:val="left"/>
      </w:pPr>
      <w:r>
        <w:rPr>
          <w:rFonts w:eastAsia="等线" w:ascii="Arial" w:cs="Arial" w:hAnsi="Arial"/>
          <w:sz w:val="22"/>
        </w:rPr>
        <w:t>反映环境影响：该测评能精确反映当下环境对人的影响，体现人在不同环境中的行为反应。</w:t>
      </w:r>
    </w:p>
    <w:p>
      <w:pPr>
        <w:numPr>
          <w:numId w:val="15"/>
        </w:numPr>
        <w:spacing w:before="120" w:after="120" w:line="288" w:lineRule="auto"/>
        <w:ind w:left="453"/>
        <w:jc w:val="left"/>
      </w:pPr>
      <w:r>
        <w:rPr>
          <w:rFonts w:eastAsia="等线" w:ascii="Arial" w:cs="Arial" w:hAnsi="Arial"/>
          <w:b w:val="true"/>
          <w:sz w:val="22"/>
        </w:rPr>
        <w:t>测评缺点</w:t>
      </w:r>
    </w:p>
    <w:p>
      <w:pPr>
        <w:numPr>
          <w:numId w:val="16"/>
        </w:numPr>
        <w:spacing w:before="120" w:after="120" w:line="288" w:lineRule="auto"/>
        <w:ind w:left="907"/>
        <w:jc w:val="left"/>
      </w:pPr>
      <w:r>
        <w:rPr>
          <w:rFonts w:eastAsia="等线" w:ascii="Arial" w:cs="Arial" w:hAnsi="Arial"/>
          <w:sz w:val="22"/>
        </w:rPr>
        <w:t>让人感觉纠结：受迫性选项会让部分人，尤其是 S 或 C 因子的人觉得纠结，认为测评不准。</w:t>
      </w:r>
    </w:p>
    <w:p>
      <w:pPr>
        <w:numPr>
          <w:numId w:val="17"/>
        </w:numPr>
        <w:spacing w:before="120" w:after="120" w:line="288" w:lineRule="auto"/>
        <w:ind w:left="907"/>
        <w:jc w:val="left"/>
      </w:pPr>
      <w:r>
        <w:rPr>
          <w:rFonts w:eastAsia="等线" w:ascii="Arial" w:cs="Arial" w:hAnsi="Arial"/>
          <w:sz w:val="22"/>
        </w:rPr>
        <w:t>特定人群不准确：对于有心理学背景或逻辑在线的成年人、多重人格者以及高层次思维人，DISC 测评可能不准确。</w:t>
      </w:r>
    </w:p>
    <w:p>
      <w:pPr>
        <w:numPr>
          <w:numId w:val="18"/>
        </w:numPr>
        <w:spacing w:before="120" w:after="120" w:line="288" w:lineRule="auto"/>
        <w:ind w:left="0"/>
        <w:jc w:val="left"/>
      </w:pPr>
      <w:r>
        <w:rPr>
          <w:rFonts w:eastAsia="等线" w:ascii="Arial" w:cs="Arial" w:hAnsi="Arial"/>
          <w:b w:val="true"/>
          <w:sz w:val="22"/>
        </w:rPr>
        <w:t>家长与孩子互动建议</w:t>
      </w:r>
    </w:p>
    <w:p>
      <w:pPr>
        <w:numPr>
          <w:numId w:val="19"/>
        </w:numPr>
        <w:spacing w:before="120" w:after="120" w:line="288" w:lineRule="auto"/>
        <w:ind w:left="453"/>
        <w:jc w:val="left"/>
      </w:pPr>
      <w:r>
        <w:rPr>
          <w:rFonts w:eastAsia="等线" w:ascii="Arial" w:cs="Arial" w:hAnsi="Arial"/>
          <w:b w:val="true"/>
          <w:sz w:val="22"/>
        </w:rPr>
        <w:t>教育方式需匹配孩子类型</w:t>
      </w:r>
    </w:p>
    <w:p>
      <w:pPr>
        <w:numPr>
          <w:numId w:val="20"/>
        </w:numPr>
        <w:spacing w:before="120" w:after="120" w:line="288" w:lineRule="auto"/>
        <w:ind w:left="907"/>
        <w:jc w:val="left"/>
      </w:pPr>
      <w:r>
        <w:rPr>
          <w:rFonts w:eastAsia="等线" w:ascii="Arial" w:cs="Arial" w:hAnsi="Arial"/>
          <w:sz w:val="22"/>
        </w:rPr>
        <w:t>激将法的适用情况：说话人 1 以芒果台节目为例，指出喜欢用激将法的家长可能是 D 或 I 型，而 S 和 C 型孩子不喜欢被激将，激将法可能会让他们产生负面情绪，影响成长。</w:t>
      </w:r>
    </w:p>
    <w:p>
      <w:pPr>
        <w:numPr>
          <w:numId w:val="21"/>
        </w:numPr>
        <w:spacing w:before="120" w:after="120" w:line="288" w:lineRule="auto"/>
        <w:ind w:left="907"/>
        <w:jc w:val="left"/>
      </w:pPr>
      <w:r>
        <w:rPr>
          <w:rFonts w:eastAsia="等线" w:ascii="Arial" w:cs="Arial" w:hAnsi="Arial"/>
          <w:sz w:val="22"/>
        </w:rPr>
        <w:t>家长应调整方式：为了孩子的成长，家长应根据孩子的类型调整教育方式，避免不恰当的教育方式给孩子带来伤害。</w:t>
      </w:r>
    </w:p>
    <w:p>
      <w:pPr>
        <w:numPr>
          <w:numId w:val="22"/>
        </w:numPr>
        <w:spacing w:before="120" w:after="120" w:line="288" w:lineRule="auto"/>
        <w:ind w:left="453"/>
        <w:jc w:val="left"/>
      </w:pPr>
      <w:r>
        <w:rPr>
          <w:rFonts w:eastAsia="等线" w:ascii="Arial" w:cs="Arial" w:hAnsi="Arial"/>
          <w:b w:val="true"/>
          <w:sz w:val="22"/>
        </w:rPr>
        <w:t>了解家长多场景表现</w:t>
      </w:r>
    </w:p>
    <w:p>
      <w:pPr>
        <w:numPr>
          <w:numId w:val="23"/>
        </w:numPr>
        <w:spacing w:before="120" w:after="120" w:line="288" w:lineRule="auto"/>
        <w:ind w:left="907"/>
        <w:jc w:val="left"/>
      </w:pPr>
      <w:r>
        <w:rPr>
          <w:rFonts w:eastAsia="等线" w:ascii="Arial" w:cs="Arial" w:hAnsi="Arial"/>
          <w:sz w:val="22"/>
        </w:rPr>
        <w:t>建议家长做工作 DISC：说话人 1 建议有能力的话让家长做工作中的 DISC 测评，因为家长在工作和生活中的表现可能不同，了解其工作中的 DISC 有助于更全面地了解家长，更好地服务客户。</w:t>
      </w:r>
    </w:p>
    <w:p>
      <w:pPr>
        <w:numPr>
          <w:numId w:val="24"/>
        </w:numPr>
        <w:spacing w:before="120" w:after="120" w:line="288" w:lineRule="auto"/>
        <w:ind w:left="907"/>
        <w:jc w:val="left"/>
      </w:pPr>
      <w:r>
        <w:rPr>
          <w:rFonts w:eastAsia="等线" w:ascii="Arial" w:cs="Arial" w:hAnsi="Arial"/>
          <w:sz w:val="22"/>
        </w:rPr>
        <w:t>关注孩子不同场景：对于孩子，可先了解其校园中的表现，关系融洽后，可让孩子代入不同场景再次测评，以对比了解孩子在不同环境中的状态，但要注意建立良好信任基础后再尝试。</w:t>
      </w:r>
    </w:p>
    <w:p>
      <w:pPr>
        <w:numPr>
          <w:numId w:val="25"/>
        </w:numPr>
        <w:spacing w:before="120" w:after="120" w:line="288" w:lineRule="auto"/>
        <w:ind w:left="0"/>
        <w:jc w:val="left"/>
      </w:pPr>
      <w:r>
        <w:rPr>
          <w:rFonts w:eastAsia="等线" w:ascii="Arial" w:cs="Arial" w:hAnsi="Arial"/>
          <w:b w:val="true"/>
          <w:sz w:val="22"/>
        </w:rPr>
        <w:t>人类本能恐惧解析</w:t>
      </w:r>
    </w:p>
    <w:p>
      <w:pPr>
        <w:numPr>
          <w:numId w:val="26"/>
        </w:numPr>
        <w:spacing w:before="120" w:after="120" w:line="288" w:lineRule="auto"/>
        <w:ind w:left="453"/>
        <w:jc w:val="left"/>
      </w:pPr>
      <w:r>
        <w:rPr>
          <w:rFonts w:eastAsia="等线" w:ascii="Arial" w:cs="Arial" w:hAnsi="Arial"/>
          <w:b w:val="true"/>
          <w:sz w:val="22"/>
        </w:rPr>
        <w:t>恐惧的根源</w:t>
      </w:r>
    </w:p>
    <w:p>
      <w:pPr>
        <w:numPr>
          <w:numId w:val="27"/>
        </w:numPr>
        <w:spacing w:before="120" w:after="120" w:line="288" w:lineRule="auto"/>
        <w:ind w:left="907"/>
        <w:jc w:val="left"/>
      </w:pPr>
      <w:r>
        <w:rPr>
          <w:rFonts w:eastAsia="等线" w:ascii="Arial" w:cs="Arial" w:hAnsi="Arial"/>
          <w:sz w:val="22"/>
        </w:rPr>
        <w:t>演讲恐惧的由来：说话人 1 解释人类对公众演讲的恐惧源于远古时期捕猎时被野兽注视的经历，这种本能的恐惧在未经过训练时会表现出来。</w:t>
      </w:r>
    </w:p>
    <w:p>
      <w:pPr>
        <w:numPr>
          <w:numId w:val="28"/>
        </w:numPr>
        <w:spacing w:before="120" w:after="120" w:line="288" w:lineRule="auto"/>
        <w:ind w:left="907"/>
        <w:jc w:val="left"/>
      </w:pPr>
      <w:r>
        <w:rPr>
          <w:rFonts w:eastAsia="等线" w:ascii="Arial" w:cs="Arial" w:hAnsi="Arial"/>
          <w:sz w:val="22"/>
        </w:rPr>
        <w:t>批评恐惧的成因：人对批评的本能抗拒源于小时候语言理解能力有限，对家长的语气语调有本能反应，家长的批评会在孩子大脑中植入恐惧情绪，影响孩子的情绪稳定性。</w:t>
      </w:r>
    </w:p>
    <w:p>
      <w:pPr>
        <w:numPr>
          <w:numId w:val="29"/>
        </w:numPr>
        <w:spacing w:before="120" w:after="120" w:line="288" w:lineRule="auto"/>
        <w:ind w:left="453"/>
        <w:jc w:val="left"/>
      </w:pPr>
      <w:r>
        <w:rPr>
          <w:rFonts w:eastAsia="等线" w:ascii="Arial" w:cs="Arial" w:hAnsi="Arial"/>
          <w:b w:val="true"/>
          <w:sz w:val="22"/>
        </w:rPr>
        <w:t>克服恐惧的方法</w:t>
      </w:r>
      <w:r>
        <w:rPr>
          <w:rFonts w:eastAsia="等线" w:ascii="Arial" w:cs="Arial" w:hAnsi="Arial"/>
          <w:sz w:val="22"/>
        </w:rPr>
        <w:t>：长大后，人们可以通过高层次思维，如成长型思维和 NLP 思维，来抵抗恐惧，克服本能的害怕情绪。</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智能章节</w:t>
      </w:r>
      <w:bookmarkEnd w:id="1"/>
    </w:p>
    <w:p>
      <w:pPr>
        <w:spacing w:before="120" w:after="120" w:line="288" w:lineRule="auto"/>
        <w:ind w:left="0"/>
        <w:jc w:val="left"/>
      </w:pPr>
      <w:hyperlink r:id="rId7">
        <w:r>
          <w:rPr>
            <w:rFonts w:eastAsia="等线" w:ascii="Arial" w:cs="Arial" w:hAnsi="Arial"/>
            <w:color w:val="3370ff"/>
            <w:sz w:val="22"/>
          </w:rPr>
          <w:t>00:05</w:t>
        </w:r>
      </w:hyperlink>
      <w:r>
        <w:rPr>
          <w:rFonts w:eastAsia="等线" w:ascii="Arial" w:cs="Arial" w:hAnsi="Arial"/>
          <w:b w:val="true"/>
          <w:sz w:val="22"/>
        </w:rPr>
        <w:t xml:space="preserve">  环境对人的影响及孟母三迁案例启示</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强调要深刻理解环境对人的影响，指出DISC会随环境变化，周围的人和事会影响人的行为和判断。以孟母三迁为例，说明孟子受不同环境影响有不同表现。还提到现在家长为孩子选学位房等，表明若环境可选择，人们都会追求好环境，这是人骨子里对环境的适应和追求。</w:t>
            </w:r>
          </w:p>
        </w:tc>
      </w:tr>
    </w:tbl>
    <w:p>
      <w:pPr>
        <w:spacing w:before="120" w:after="120" w:line="288" w:lineRule="auto"/>
        <w:ind w:left="0"/>
        <w:jc w:val="left"/>
      </w:pPr>
      <w:hyperlink r:id="rId8">
        <w:r>
          <w:rPr>
            <w:rFonts w:eastAsia="等线" w:ascii="Arial" w:cs="Arial" w:hAnsi="Arial"/>
            <w:color w:val="3370ff"/>
            <w:sz w:val="22"/>
          </w:rPr>
          <w:t>03:44</w:t>
        </w:r>
      </w:hyperlink>
      <w:r>
        <w:rPr>
          <w:rFonts w:eastAsia="等线" w:ascii="Arial" w:cs="Arial" w:hAnsi="Arial"/>
          <w:b w:val="true"/>
          <w:sz w:val="22"/>
        </w:rPr>
        <w:t xml:space="preserve">  斯坦福监狱实验及环境对人影响的启示</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了斯坦福监狱实验，1971年心理学家菲利普金新巴多在斯坦福大学模拟监狱环境，让学生分别扮演狱警和囚犯，研究权力压迫环境对人行为的影响。实验仅进行6天就因情况失控被迫结束，学生在模拟中失去自我。该实验印证环境能对人产生巨大影响，在服务中环境也可能改变客户的行为、心智、思维模式甚至性格。</w:t>
            </w:r>
          </w:p>
        </w:tc>
      </w:tr>
    </w:tbl>
    <w:p>
      <w:pPr>
        <w:spacing w:before="120" w:after="120" w:line="288" w:lineRule="auto"/>
        <w:ind w:left="0"/>
        <w:jc w:val="left"/>
      </w:pPr>
      <w:hyperlink r:id="rId9">
        <w:r>
          <w:rPr>
            <w:rFonts w:eastAsia="等线" w:ascii="Arial" w:cs="Arial" w:hAnsi="Arial"/>
            <w:color w:val="3370ff"/>
            <w:sz w:val="22"/>
          </w:rPr>
          <w:t>06:00</w:t>
        </w:r>
      </w:hyperlink>
      <w:r>
        <w:rPr>
          <w:rFonts w:eastAsia="等线" w:ascii="Arial" w:cs="Arial" w:hAnsi="Arial"/>
          <w:b w:val="true"/>
          <w:sz w:val="22"/>
        </w:rPr>
        <w:t xml:space="preserve">  环境与人相互影响，身边人可促人成长</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指出环境对人有影响，其中环境中的人影响力很大，如孟母、志愿者及榜样等。还举例说明孩子因身边朋友晒训练营、学习打卡等刺激，变得沉迷学习，体现周围人对其影响大。强调环境离不开人，人也创造环境，二者是相互影响的过程。</w:t>
            </w:r>
          </w:p>
        </w:tc>
      </w:tr>
    </w:tbl>
    <w:p>
      <w:pPr>
        <w:spacing w:before="120" w:after="120" w:line="288" w:lineRule="auto"/>
        <w:ind w:left="0"/>
        <w:jc w:val="left"/>
      </w:pPr>
      <w:hyperlink r:id="rId10">
        <w:r>
          <w:rPr>
            <w:rFonts w:eastAsia="等线" w:ascii="Arial" w:cs="Arial" w:hAnsi="Arial"/>
            <w:color w:val="3370ff"/>
            <w:sz w:val="22"/>
          </w:rPr>
          <w:t>07:34</w:t>
        </w:r>
      </w:hyperlink>
      <w:r>
        <w:rPr>
          <w:rFonts w:eastAsia="等线" w:ascii="Arial" w:cs="Arial" w:hAnsi="Arial"/>
          <w:b w:val="true"/>
          <w:sz w:val="22"/>
        </w:rPr>
        <w:t xml:space="preserve">  孩子行为调整需家长配合及多场景测评意义</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围绕帮助孩子及相关解读展开。帮助孩子不能忽略其身边人，家庭教育很重要。解读家长时，有能力可测工作中的他，能更了解家长在不同场景表现。对孩子，关系好时可让其做不同场景代入对比，但要在信任基础好时进行。咨询服务强调家长配合度，解读要有专业性和说服力。</w:t>
            </w:r>
          </w:p>
        </w:tc>
      </w:tr>
    </w:tbl>
    <w:p>
      <w:pPr>
        <w:spacing w:before="120" w:after="120" w:line="288" w:lineRule="auto"/>
        <w:ind w:left="0"/>
        <w:jc w:val="left"/>
      </w:pPr>
      <w:hyperlink r:id="rId11">
        <w:r>
          <w:rPr>
            <w:rFonts w:eastAsia="等线" w:ascii="Arial" w:cs="Arial" w:hAnsi="Arial"/>
            <w:color w:val="3370ff"/>
            <w:sz w:val="22"/>
          </w:rPr>
          <w:t>15:34</w:t>
        </w:r>
      </w:hyperlink>
      <w:r>
        <w:rPr>
          <w:rFonts w:eastAsia="等线" w:ascii="Arial" w:cs="Arial" w:hAnsi="Arial"/>
          <w:b w:val="true"/>
          <w:sz w:val="22"/>
        </w:rPr>
        <w:t xml:space="preserve">  从节目案例看环境对孩子成长的影响</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探讨环境对人的影响。以芒果台节目为例，指出喜欢用激将法的家长可能是D或I类型，而S和C类型孩子不喜欢被激将。还讲述变形计主人公因缺乏父母陪伴、受爷爷奶奶宠溺而叛逆厌学，后被强行改变环境，在艰苦环境中反思并考上英国大学，强调要深刻理解环境对人的影响。</w:t>
            </w:r>
          </w:p>
        </w:tc>
      </w:tr>
    </w:tbl>
    <w:p>
      <w:pPr>
        <w:spacing w:before="120" w:after="120" w:line="288" w:lineRule="auto"/>
        <w:ind w:left="0"/>
        <w:jc w:val="left"/>
      </w:pPr>
      <w:hyperlink r:id="rId12">
        <w:r>
          <w:rPr>
            <w:rFonts w:eastAsia="等线" w:ascii="Arial" w:cs="Arial" w:hAnsi="Arial"/>
            <w:color w:val="3370ff"/>
            <w:sz w:val="22"/>
          </w:rPr>
          <w:t>20:08</w:t>
        </w:r>
      </w:hyperlink>
      <w:r>
        <w:rPr>
          <w:rFonts w:eastAsia="等线" w:ascii="Arial" w:cs="Arial" w:hAnsi="Arial"/>
          <w:b w:val="true"/>
          <w:sz w:val="22"/>
        </w:rPr>
        <w:t xml:space="preserve">  DISC测评优缺点、精度及环境影响分析</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介绍了DISC测评的优缺点。有人会问其正确率，应使用更准确的“精确度”表述。因是受迫性选项，有人会觉得测评不准，但该方式相对精准，比主观答题精确度高。它采用自适应计算，更客观准确，能防撒谎但非百分百。此外，它较敏感，可精确反映当下环境的影响。</w:t>
            </w:r>
          </w:p>
        </w:tc>
      </w:tr>
    </w:tbl>
    <w:p>
      <w:pPr>
        <w:spacing w:before="120" w:after="120" w:line="288" w:lineRule="auto"/>
        <w:ind w:left="0"/>
        <w:jc w:val="left"/>
      </w:pPr>
      <w:hyperlink r:id="rId13">
        <w:r>
          <w:rPr>
            <w:rFonts w:eastAsia="等线" w:ascii="Arial" w:cs="Arial" w:hAnsi="Arial"/>
            <w:color w:val="3370ff"/>
            <w:sz w:val="22"/>
          </w:rPr>
          <w:t>23:33</w:t>
        </w:r>
      </w:hyperlink>
      <w:r>
        <w:rPr>
          <w:rFonts w:eastAsia="等线" w:ascii="Arial" w:cs="Arial" w:hAnsi="Arial"/>
          <w:b w:val="true"/>
          <w:sz w:val="22"/>
        </w:rPr>
        <w:t xml:space="preserve">  测评的受迫性现象及三方面局限性说明</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讲述了测评的缺点与局限性。缺点方面，受迫性易让有S或C因子的人纠结，而D和I因子者不太在意。局限性包括：有心理学背景或逻辑在线的成年人可能躲避测评；对多重人格者测评可能不准，此时需测16PF；对高层次思维者，DISCO测评也可能不准，因其能用思维模式克服本能情绪反应。</w:t>
            </w:r>
          </w:p>
        </w:tc>
      </w:tr>
    </w:tbl>
    <w:p>
      <w:pPr>
        <w:spacing w:before="120" w:after="120" w:line="288" w:lineRule="auto"/>
        <w:ind w:left="0"/>
        <w:jc w:val="left"/>
      </w:pPr>
      <w:hyperlink r:id="rId14">
        <w:r>
          <w:rPr>
            <w:rFonts w:eastAsia="等线" w:ascii="Arial" w:cs="Arial" w:hAnsi="Arial"/>
            <w:color w:val="3370ff"/>
            <w:sz w:val="22"/>
          </w:rPr>
          <w:t>25:24</w:t>
        </w:r>
      </w:hyperlink>
      <w:r>
        <w:rPr>
          <w:rFonts w:eastAsia="等线" w:ascii="Arial" w:cs="Arial" w:hAnsi="Arial"/>
          <w:b w:val="true"/>
          <w:sz w:val="22"/>
        </w:rPr>
        <w:t xml:space="preserve">  人类本能恐惧的成因及克服方法介绍</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探讨人类与生俱来的恐惧。如对公众演讲的恐惧源于远古捕猎时被野兽注视的经历，对批评的抗拒则与小时候听不懂话语但能感受家长语气中的负面情绪有关。不过，长大以后可通过心智和思维模式调整克服这些恐惧，高级课程会深入讲解相关内容。</w:t>
            </w:r>
          </w:p>
        </w:tc>
      </w:tr>
    </w:tbl>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关键决策</w:t>
      </w:r>
      <w:bookmarkEnd w:id="2"/>
    </w:p>
    <w:p>
      <w:pPr>
        <w:numPr>
          <w:numId w:val="30"/>
        </w:numPr>
        <w:spacing w:before="120" w:after="120" w:line="288" w:lineRule="auto"/>
        <w:ind w:left="0"/>
        <w:jc w:val="left"/>
      </w:pPr>
      <w:r>
        <w:rPr>
          <w:rFonts w:eastAsia="等线" w:ascii="Arial" w:cs="Arial" w:hAnsi="Arial"/>
          <w:b w:val="true"/>
          <w:sz w:val="22"/>
        </w:rPr>
        <w:t>关键决策</w:t>
      </w:r>
      <w:r>
        <w:rPr>
          <w:rFonts w:eastAsia="等线" w:ascii="Arial" w:cs="Arial" w:hAnsi="Arial"/>
          <w:sz w:val="22"/>
        </w:rPr>
        <w:t>：在服务过程中，要重视家长的配合度，解读家长时尽量让家长做工作中的 DISC 测评，且在与孩子建立信任基础后，可让孩子做不同场景下的测评。</w:t>
      </w:r>
    </w:p>
    <w:p>
      <w:pPr>
        <w:numPr>
          <w:numId w:val="31"/>
        </w:numPr>
        <w:spacing w:before="120" w:after="120" w:line="288" w:lineRule="auto"/>
        <w:ind w:left="453"/>
        <w:jc w:val="left"/>
      </w:pPr>
      <w:r>
        <w:rPr>
          <w:rFonts w:eastAsia="等线" w:ascii="Arial" w:cs="Arial" w:hAnsi="Arial"/>
          <w:b w:val="true"/>
          <w:sz w:val="22"/>
        </w:rPr>
        <w:t>问题</w:t>
      </w:r>
      <w:r>
        <w:rPr>
          <w:rFonts w:eastAsia="等线" w:ascii="Arial" w:cs="Arial" w:hAnsi="Arial"/>
          <w:sz w:val="22"/>
        </w:rPr>
        <w:t>：在孩子行为调整和咨询服务过程中，家长不配合但希望孩子有变化，如何提高家长的配合度并准确了解家长和孩子。</w:t>
      </w:r>
    </w:p>
    <w:p>
      <w:pPr>
        <w:numPr>
          <w:numId w:val="32"/>
        </w:numPr>
        <w:spacing w:before="120" w:after="120" w:line="288" w:lineRule="auto"/>
        <w:ind w:left="453"/>
        <w:jc w:val="left"/>
      </w:pPr>
      <w:r>
        <w:rPr>
          <w:rFonts w:eastAsia="等线" w:ascii="Arial" w:cs="Arial" w:hAnsi="Arial"/>
          <w:b w:val="true"/>
          <w:sz w:val="22"/>
        </w:rPr>
        <w:t>讨论方案</w:t>
      </w:r>
      <w:r>
        <w:rPr>
          <w:rFonts w:eastAsia="等线" w:ascii="Arial" w:cs="Arial" w:hAnsi="Arial"/>
          <w:sz w:val="22"/>
        </w:rPr>
        <w:t>：</w:t>
      </w:r>
    </w:p>
    <w:p>
      <w:pPr>
        <w:numPr>
          <w:numId w:val="33"/>
        </w:numPr>
        <w:spacing w:before="120" w:after="120" w:line="288" w:lineRule="auto"/>
        <w:ind w:left="907"/>
        <w:jc w:val="left"/>
      </w:pPr>
      <w:r>
        <w:rPr>
          <w:rFonts w:eastAsia="等线" w:ascii="Arial" w:cs="Arial" w:hAnsi="Arial"/>
          <w:sz w:val="22"/>
        </w:rPr>
        <w:t>说话人 1 提出在解读家长时，有能力的话让家长先做工作中的 DISC 测评，以了解家长在不同场景中的表现。</w:t>
      </w:r>
    </w:p>
    <w:p>
      <w:pPr>
        <w:numPr>
          <w:numId w:val="34"/>
        </w:numPr>
        <w:spacing w:before="120" w:after="120" w:line="288" w:lineRule="auto"/>
        <w:ind w:left="907"/>
        <w:jc w:val="left"/>
      </w:pPr>
      <w:r>
        <w:rPr>
          <w:rFonts w:eastAsia="等线" w:ascii="Arial" w:cs="Arial" w:hAnsi="Arial"/>
          <w:sz w:val="22"/>
        </w:rPr>
        <w:t>说话人 1 提出在与孩子关系处好、信任基础建立较好的情况下，让孩子做校园中的 DISC 测评，并代入不同场景，如在家与爸爸相处的场景，进行对比。</w:t>
      </w:r>
    </w:p>
    <w:p>
      <w:pPr>
        <w:numPr>
          <w:numId w:val="35"/>
        </w:numPr>
        <w:spacing w:before="120" w:after="120" w:line="288" w:lineRule="auto"/>
        <w:ind w:left="453"/>
        <w:jc w:val="left"/>
      </w:pPr>
      <w:r>
        <w:rPr>
          <w:rFonts w:eastAsia="等线" w:ascii="Arial" w:cs="Arial" w:hAnsi="Arial"/>
          <w:b w:val="true"/>
          <w:sz w:val="22"/>
        </w:rPr>
        <w:t>决策依据</w:t>
      </w:r>
      <w:r>
        <w:rPr>
          <w:rFonts w:eastAsia="等线" w:ascii="Arial" w:cs="Arial" w:hAnsi="Arial"/>
          <w:sz w:val="22"/>
        </w:rPr>
        <w:t>：家长在工作和家庭中的表现可能不同，工作中的 DISC 测评能帮助了解家长更多场景下的样子；孩子长期受家庭环境影响，通过不同场景的测评可更全面了解孩子，且能让家长意识到自己行为对孩子的影响，提高家长配合度。</w:t>
      </w:r>
    </w:p>
    <w:p>
      <w:pPr>
        <w:pBdr>
          <w:bottom w:val="single" w:color="dee0e3"/>
          <w:between w:val="single" w:color="dee0e3"/>
        </w:pBdr>
        <w:spacing w:before="120" w:after="120" w:line="288" w:lineRule="auto"/>
        <w:ind w:left="0"/>
      </w:pPr>
    </w:p>
    <w:p>
      <w:pPr>
        <w:numPr>
          <w:numId w:val="36"/>
        </w:numPr>
        <w:spacing w:before="120" w:after="120" w:line="288" w:lineRule="auto"/>
        <w:ind w:left="0"/>
        <w:jc w:val="left"/>
      </w:pPr>
      <w:r>
        <w:rPr>
          <w:rFonts w:eastAsia="等线" w:ascii="Arial" w:cs="Arial" w:hAnsi="Arial"/>
          <w:b w:val="true"/>
          <w:sz w:val="22"/>
        </w:rPr>
        <w:t>其他决策</w:t>
      </w:r>
      <w:r>
        <w:rPr>
          <w:rFonts w:eastAsia="等线" w:ascii="Arial" w:cs="Arial" w:hAnsi="Arial"/>
          <w:sz w:val="22"/>
        </w:rPr>
        <w:t>：</w:t>
      </w:r>
    </w:p>
    <w:p>
      <w:pPr>
        <w:numPr>
          <w:numId w:val="37"/>
        </w:numPr>
        <w:spacing w:before="120" w:after="120" w:line="288" w:lineRule="auto"/>
        <w:ind w:left="453"/>
        <w:jc w:val="left"/>
      </w:pPr>
      <w:r>
        <w:rPr>
          <w:rFonts w:eastAsia="等线" w:ascii="Arial" w:cs="Arial" w:hAnsi="Arial"/>
          <w:sz w:val="22"/>
        </w:rPr>
        <w:t>向家长解释测评时，用“精确度”代替“正确率”。</w:t>
      </w:r>
    </w:p>
    <w:p>
      <w:pPr>
        <w:numPr>
          <w:numId w:val="38"/>
        </w:numPr>
        <w:spacing w:before="120" w:after="120" w:line="288" w:lineRule="auto"/>
        <w:ind w:left="453"/>
        <w:jc w:val="left"/>
      </w:pPr>
      <w:r>
        <w:rPr>
          <w:rFonts w:eastAsia="等线" w:ascii="Arial" w:cs="Arial" w:hAnsi="Arial"/>
          <w:sz w:val="22"/>
        </w:rPr>
        <w:t>解读家长和孩子时，可通过对比家长和孩子做的图，更有说服力地说明家长对孩子的影响。</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金句时刻</w:t>
      </w:r>
      <w:bookmarkEnd w:id="3"/>
    </w:p>
    <w:p>
      <w:pPr>
        <w:spacing w:before="120" w:after="120" w:line="288" w:lineRule="auto"/>
        <w:ind w:left="0"/>
        <w:jc w:val="left"/>
      </w:pPr>
      <w:r>
        <w:rPr>
          <w:rFonts w:eastAsia="等线" w:ascii="Arial" w:cs="Arial" w:hAnsi="Arial"/>
          <w:sz w:val="22"/>
        </w:rPr>
        <w:t>「所谓人生，就是影响和被影响的过程。」</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简洁而深刻地概括了人生的本质，突出了环境和他人对个人的影响这一会议核心观点，能引发思考和共鸣。</w:t>
      </w:r>
    </w:p>
    <w:p>
      <w:pPr>
        <w:spacing w:before="120" w:after="120" w:line="288" w:lineRule="auto"/>
        <w:ind w:left="0"/>
        <w:jc w:val="left"/>
      </w:pPr>
    </w:p>
    <w:p>
      <w:pPr>
        <w:spacing w:before="120" w:after="120" w:line="288" w:lineRule="auto"/>
        <w:ind w:left="0"/>
        <w:jc w:val="left"/>
      </w:pPr>
      <w:r>
        <w:rPr>
          <w:rFonts w:eastAsia="等线" w:ascii="Arial" w:cs="Arial" w:hAnsi="Arial"/>
          <w:sz w:val="22"/>
        </w:rPr>
        <w:t>「一个人所处的环境不仅影响我们所看到、听到和接触的事物，更能改变一个人的心智和思维模式。」</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明确指出环境对人的深远影响，是会议讨论的重点内容，能让读者快速理解会议核心观点。</w:t>
      </w:r>
    </w:p>
    <w:p>
      <w:pPr>
        <w:spacing w:before="120" w:after="120" w:line="288" w:lineRule="auto"/>
        <w:ind w:left="0"/>
        <w:jc w:val="left"/>
      </w:pPr>
    </w:p>
    <w:p>
      <w:pPr>
        <w:spacing w:before="120" w:after="120" w:line="288" w:lineRule="auto"/>
        <w:ind w:left="0"/>
        <w:jc w:val="left"/>
      </w:pPr>
      <w:r>
        <w:rPr>
          <w:rFonts w:eastAsia="等线" w:ascii="Arial" w:cs="Arial" w:hAnsi="Arial"/>
          <w:sz w:val="22"/>
        </w:rPr>
        <w:t>「环境离不开人，人也创造了环境，这是一个相互的过程。」</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强调了人与环境的相互关系，具有独特洞察，新颖观点，能引发对人与环境关系的深入思考。</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4" w:id="4"/>
      <w:r>
        <w:rPr>
          <w:rFonts w:eastAsia="等线" w:ascii="Arial" w:cs="Arial" w:hAnsi="Arial"/>
          <w:b w:val="true"/>
          <w:sz w:val="36"/>
        </w:rPr>
        <w:t>相关链接</w:t>
      </w:r>
      <w:bookmarkEnd w:id="4"/>
    </w:p>
    <w:p>
      <w:pPr>
        <w:numPr>
          <w:numId w:val="39"/>
        </w:numPr>
        <w:spacing w:before="120" w:after="120" w:line="288" w:lineRule="auto"/>
        <w:ind w:left="0"/>
        <w:jc w:val="left"/>
      </w:pPr>
      <w:r>
        <w:rPr>
          <w:rFonts w:eastAsia="等线" w:ascii="Arial" w:cs="Arial" w:hAnsi="Arial"/>
          <w:sz w:val="22"/>
        </w:rPr>
        <w:t>妙记：</w:t>
      </w:r>
      <w:hyperlink r:id="rId15">
        <w:r>
          <w:rPr>
            <w:rFonts w:eastAsia="等线" w:ascii="Arial" w:cs="Arial" w:hAnsi="Arial"/>
            <w:color w:val="3370ff"/>
            <w:sz w:val="22"/>
          </w:rPr>
          <w:t>26. 深刻理解环境对“人”的影响</w:t>
        </w:r>
      </w:hyperlink>
    </w:p>
    <w:p>
      <w:pPr>
        <w:numPr>
          <w:numId w:val="40"/>
        </w:numPr>
        <w:spacing w:before="120" w:after="120" w:line="288" w:lineRule="auto"/>
        <w:ind w:left="0"/>
        <w:jc w:val="left"/>
      </w:pPr>
      <w:r>
        <w:rPr>
          <w:rFonts w:eastAsia="等线" w:ascii="Arial" w:cs="Arial" w:hAnsi="Arial"/>
          <w:sz w:val="22"/>
        </w:rPr>
        <w:t>文字记录</w:t>
      </w:r>
    </w:p>
    <w:p>
      <w:pPr>
        <w:numPr>
          <w:numId w:val="41"/>
        </w:numPr>
        <w:spacing w:before="120" w:after="120" w:line="288" w:lineRule="auto"/>
        <w:ind w:left="453"/>
        <w:jc w:val="left"/>
      </w:pPr>
      <w:hyperlink r:id="rId16">
        <w:r>
          <w:rPr>
            <w:rFonts w:eastAsia="等线" w:ascii="Arial" w:cs="Arial" w:hAnsi="Arial"/>
            <w:color w:val="3370ff"/>
            <w:sz w:val="22"/>
          </w:rPr>
          <w:t>26. 深刻理解环境对“人”的影响 2026年1月22日</w:t>
        </w:r>
      </w:hyperlink>
    </w:p>
    <w:sectPr>
      <w:footerReference w:type="default" r:id="rId3"/>
      <w:headerReference w:type="default" r:id="rId1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2349">
    <w:lvl>
      <w:numFmt w:val="bullet"/>
      <w:suff w:val="tab"/>
      <w:lvlText w:val="•"/>
      <w:rPr>
        <w:color w:val="3370ff"/>
      </w:rPr>
    </w:lvl>
  </w:abstractNum>
  <w:abstractNum w:abstractNumId="12350">
    <w:lvl>
      <w:numFmt w:val="bullet"/>
      <w:suff w:val="tab"/>
      <w:lvlText w:val="￮"/>
      <w:rPr>
        <w:color w:val="3370ff"/>
      </w:rPr>
    </w:lvl>
  </w:abstractNum>
  <w:abstractNum w:abstractNumId="12351">
    <w:lvl>
      <w:numFmt w:val="bullet"/>
      <w:suff w:val="tab"/>
      <w:lvlText w:val="•"/>
      <w:rPr>
        <w:color w:val="3370ff"/>
      </w:rPr>
    </w:lvl>
  </w:abstractNum>
  <w:abstractNum w:abstractNumId="12352">
    <w:lvl>
      <w:numFmt w:val="bullet"/>
      <w:suff w:val="tab"/>
      <w:lvlText w:val="•"/>
      <w:rPr>
        <w:color w:val="3370ff"/>
      </w:rPr>
    </w:lvl>
  </w:abstractNum>
  <w:abstractNum w:abstractNumId="12353">
    <w:lvl>
      <w:numFmt w:val="bullet"/>
      <w:suff w:val="tab"/>
      <w:lvlText w:val="￮"/>
      <w:rPr>
        <w:color w:val="3370ff"/>
      </w:rPr>
    </w:lvl>
  </w:abstractNum>
  <w:abstractNum w:abstractNumId="12354">
    <w:lvl>
      <w:numFmt w:val="bullet"/>
      <w:suff w:val="tab"/>
      <w:lvlText w:val="▪"/>
      <w:rPr>
        <w:color w:val="3370ff"/>
        <w:sz w:val="11"/>
      </w:rPr>
    </w:lvl>
  </w:abstractNum>
  <w:abstractNum w:abstractNumId="12355">
    <w:lvl>
      <w:numFmt w:val="bullet"/>
      <w:suff w:val="tab"/>
      <w:lvlText w:val="▪"/>
      <w:rPr>
        <w:color w:val="3370ff"/>
        <w:sz w:val="11"/>
      </w:rPr>
    </w:lvl>
  </w:abstractNum>
  <w:abstractNum w:abstractNumId="12356">
    <w:lvl>
      <w:numFmt w:val="bullet"/>
      <w:suff w:val="tab"/>
      <w:lvlText w:val="￮"/>
      <w:rPr>
        <w:color w:val="3370ff"/>
      </w:rPr>
    </w:lvl>
  </w:abstractNum>
  <w:abstractNum w:abstractNumId="12357">
    <w:lvl>
      <w:numFmt w:val="bullet"/>
      <w:suff w:val="tab"/>
      <w:lvlText w:val="▪"/>
      <w:rPr>
        <w:color w:val="3370ff"/>
        <w:sz w:val="11"/>
      </w:rPr>
    </w:lvl>
  </w:abstractNum>
  <w:abstractNum w:abstractNumId="12358">
    <w:lvl>
      <w:numFmt w:val="bullet"/>
      <w:suff w:val="tab"/>
      <w:lvlText w:val="▪"/>
      <w:rPr>
        <w:color w:val="3370ff"/>
        <w:sz w:val="11"/>
      </w:rPr>
    </w:lvl>
  </w:abstractNum>
  <w:abstractNum w:abstractNumId="12359">
    <w:lvl>
      <w:numFmt w:val="bullet"/>
      <w:suff w:val="tab"/>
      <w:lvlText w:val="•"/>
      <w:rPr>
        <w:color w:val="3370ff"/>
      </w:rPr>
    </w:lvl>
  </w:abstractNum>
  <w:abstractNum w:abstractNumId="12360">
    <w:lvl>
      <w:numFmt w:val="bullet"/>
      <w:suff w:val="tab"/>
      <w:lvlText w:val="￮"/>
      <w:rPr>
        <w:color w:val="3370ff"/>
      </w:rPr>
    </w:lvl>
  </w:abstractNum>
  <w:abstractNum w:abstractNumId="12361">
    <w:lvl>
      <w:numFmt w:val="bullet"/>
      <w:suff w:val="tab"/>
      <w:lvlText w:val="▪"/>
      <w:rPr>
        <w:color w:val="3370ff"/>
        <w:sz w:val="11"/>
      </w:rPr>
    </w:lvl>
  </w:abstractNum>
  <w:abstractNum w:abstractNumId="12362">
    <w:lvl>
      <w:numFmt w:val="bullet"/>
      <w:suff w:val="tab"/>
      <w:lvlText w:val="▪"/>
      <w:rPr>
        <w:color w:val="3370ff"/>
        <w:sz w:val="11"/>
      </w:rPr>
    </w:lvl>
  </w:abstractNum>
  <w:abstractNum w:abstractNumId="12363">
    <w:lvl>
      <w:numFmt w:val="bullet"/>
      <w:suff w:val="tab"/>
      <w:lvlText w:val="￮"/>
      <w:rPr>
        <w:color w:val="3370ff"/>
      </w:rPr>
    </w:lvl>
  </w:abstractNum>
  <w:abstractNum w:abstractNumId="12364">
    <w:lvl>
      <w:numFmt w:val="bullet"/>
      <w:suff w:val="tab"/>
      <w:lvlText w:val="▪"/>
      <w:rPr>
        <w:color w:val="3370ff"/>
        <w:sz w:val="11"/>
      </w:rPr>
    </w:lvl>
  </w:abstractNum>
  <w:abstractNum w:abstractNumId="12365">
    <w:lvl>
      <w:numFmt w:val="bullet"/>
      <w:suff w:val="tab"/>
      <w:lvlText w:val="▪"/>
      <w:rPr>
        <w:color w:val="3370ff"/>
        <w:sz w:val="11"/>
      </w:rPr>
    </w:lvl>
  </w:abstractNum>
  <w:abstractNum w:abstractNumId="12366">
    <w:lvl>
      <w:numFmt w:val="bullet"/>
      <w:suff w:val="tab"/>
      <w:lvlText w:val="•"/>
      <w:rPr>
        <w:color w:val="3370ff"/>
      </w:rPr>
    </w:lvl>
  </w:abstractNum>
  <w:abstractNum w:abstractNumId="12367">
    <w:lvl>
      <w:numFmt w:val="bullet"/>
      <w:suff w:val="tab"/>
      <w:lvlText w:val="￮"/>
      <w:rPr>
        <w:color w:val="3370ff"/>
      </w:rPr>
    </w:lvl>
  </w:abstractNum>
  <w:abstractNum w:abstractNumId="12368">
    <w:lvl>
      <w:numFmt w:val="bullet"/>
      <w:suff w:val="tab"/>
      <w:lvlText w:val="▪"/>
      <w:rPr>
        <w:color w:val="3370ff"/>
        <w:sz w:val="11"/>
      </w:rPr>
    </w:lvl>
  </w:abstractNum>
  <w:abstractNum w:abstractNumId="12369">
    <w:lvl>
      <w:numFmt w:val="bullet"/>
      <w:suff w:val="tab"/>
      <w:lvlText w:val="▪"/>
      <w:rPr>
        <w:color w:val="3370ff"/>
        <w:sz w:val="11"/>
      </w:rPr>
    </w:lvl>
  </w:abstractNum>
  <w:abstractNum w:abstractNumId="12370">
    <w:lvl>
      <w:numFmt w:val="bullet"/>
      <w:suff w:val="tab"/>
      <w:lvlText w:val="￮"/>
      <w:rPr>
        <w:color w:val="3370ff"/>
      </w:rPr>
    </w:lvl>
  </w:abstractNum>
  <w:abstractNum w:abstractNumId="12371">
    <w:lvl>
      <w:numFmt w:val="bullet"/>
      <w:suff w:val="tab"/>
      <w:lvlText w:val="▪"/>
      <w:rPr>
        <w:color w:val="3370ff"/>
        <w:sz w:val="11"/>
      </w:rPr>
    </w:lvl>
  </w:abstractNum>
  <w:abstractNum w:abstractNumId="12372">
    <w:lvl>
      <w:numFmt w:val="bullet"/>
      <w:suff w:val="tab"/>
      <w:lvlText w:val="▪"/>
      <w:rPr>
        <w:color w:val="3370ff"/>
        <w:sz w:val="11"/>
      </w:rPr>
    </w:lvl>
  </w:abstractNum>
  <w:abstractNum w:abstractNumId="12373">
    <w:lvl>
      <w:numFmt w:val="bullet"/>
      <w:suff w:val="tab"/>
      <w:lvlText w:val="•"/>
      <w:rPr>
        <w:color w:val="3370ff"/>
      </w:rPr>
    </w:lvl>
  </w:abstractNum>
  <w:abstractNum w:abstractNumId="12374">
    <w:lvl>
      <w:numFmt w:val="bullet"/>
      <w:suff w:val="tab"/>
      <w:lvlText w:val="￮"/>
      <w:rPr>
        <w:color w:val="3370ff"/>
      </w:rPr>
    </w:lvl>
  </w:abstractNum>
  <w:abstractNum w:abstractNumId="12375">
    <w:lvl>
      <w:numFmt w:val="bullet"/>
      <w:suff w:val="tab"/>
      <w:lvlText w:val="▪"/>
      <w:rPr>
        <w:color w:val="3370ff"/>
        <w:sz w:val="11"/>
      </w:rPr>
    </w:lvl>
  </w:abstractNum>
  <w:abstractNum w:abstractNumId="12376">
    <w:lvl>
      <w:numFmt w:val="bullet"/>
      <w:suff w:val="tab"/>
      <w:lvlText w:val="▪"/>
      <w:rPr>
        <w:color w:val="3370ff"/>
        <w:sz w:val="11"/>
      </w:rPr>
    </w:lvl>
  </w:abstractNum>
  <w:abstractNum w:abstractNumId="12377">
    <w:lvl>
      <w:numFmt w:val="bullet"/>
      <w:suff w:val="tab"/>
      <w:lvlText w:val="￮"/>
      <w:rPr>
        <w:color w:val="3370ff"/>
      </w:rPr>
    </w:lvl>
  </w:abstractNum>
  <w:abstractNum w:abstractNumId="12378">
    <w:lvl>
      <w:numFmt w:val="bullet"/>
      <w:suff w:val="tab"/>
      <w:lvlText w:val="•"/>
      <w:rPr>
        <w:color w:val="3370ff"/>
      </w:rPr>
    </w:lvl>
  </w:abstractNum>
  <w:abstractNum w:abstractNumId="12379">
    <w:lvl>
      <w:numFmt w:val="bullet"/>
      <w:suff w:val="tab"/>
      <w:lvlText w:val="￮"/>
      <w:rPr>
        <w:color w:val="3370ff"/>
      </w:rPr>
    </w:lvl>
  </w:abstractNum>
  <w:abstractNum w:abstractNumId="12380">
    <w:lvl>
      <w:numFmt w:val="bullet"/>
      <w:suff w:val="tab"/>
      <w:lvlText w:val="￮"/>
      <w:rPr>
        <w:color w:val="3370ff"/>
      </w:rPr>
    </w:lvl>
  </w:abstractNum>
  <w:abstractNum w:abstractNumId="12381">
    <w:lvl>
      <w:numFmt w:val="bullet"/>
      <w:suff w:val="tab"/>
      <w:lvlText w:val="▪"/>
      <w:rPr>
        <w:color w:val="3370ff"/>
        <w:sz w:val="11"/>
      </w:rPr>
    </w:lvl>
  </w:abstractNum>
  <w:abstractNum w:abstractNumId="12382">
    <w:lvl>
      <w:numFmt w:val="bullet"/>
      <w:suff w:val="tab"/>
      <w:lvlText w:val="▪"/>
      <w:rPr>
        <w:color w:val="3370ff"/>
        <w:sz w:val="11"/>
      </w:rPr>
    </w:lvl>
  </w:abstractNum>
  <w:abstractNum w:abstractNumId="12383">
    <w:lvl>
      <w:numFmt w:val="bullet"/>
      <w:suff w:val="tab"/>
      <w:lvlText w:val="￮"/>
      <w:rPr>
        <w:color w:val="3370ff"/>
      </w:rPr>
    </w:lvl>
  </w:abstractNum>
  <w:abstractNum w:abstractNumId="12384">
    <w:lvl>
      <w:numFmt w:val="bullet"/>
      <w:suff w:val="tab"/>
      <w:lvlText w:val="•"/>
      <w:rPr>
        <w:color w:val="3370ff"/>
      </w:rPr>
    </w:lvl>
  </w:abstractNum>
  <w:abstractNum w:abstractNumId="12385">
    <w:lvl>
      <w:start w:val="1"/>
      <w:numFmt w:val="lowerLetter"/>
      <w:suff w:val="tab"/>
      <w:lvlText w:val="%1."/>
      <w:rPr>
        <w:color w:val="3370ff"/>
      </w:rPr>
    </w:lvl>
  </w:abstractNum>
  <w:abstractNum w:abstractNumId="12386">
    <w:lvl>
      <w:start w:val="2"/>
      <w:numFmt w:val="lowerLetter"/>
      <w:suff w:val="tab"/>
      <w:lvlText w:val="%1."/>
      <w:rPr>
        <w:color w:val="3370ff"/>
      </w:rPr>
    </w:lvl>
  </w:abstractNum>
  <w:abstractNum w:abstractNumId="12387">
    <w:lvl>
      <w:numFmt w:val="bullet"/>
      <w:suff w:val="tab"/>
      <w:lvlText w:val="•"/>
      <w:rPr>
        <w:color w:val="3370ff"/>
      </w:rPr>
    </w:lvl>
  </w:abstractNum>
  <w:abstractNum w:abstractNumId="12388">
    <w:lvl>
      <w:numFmt w:val="bullet"/>
      <w:suff w:val="tab"/>
      <w:lvlText w:val="•"/>
      <w:rPr>
        <w:color w:val="3370ff"/>
      </w:rPr>
    </w:lvl>
  </w:abstractNum>
  <w:abstractNum w:abstractNumId="12389">
    <w:lvl>
      <w:numFmt w:val="bullet"/>
      <w:suff w:val="tab"/>
      <w:lvlText w:val="￮"/>
      <w:rPr>
        <w:color w:val="3370ff"/>
      </w:rPr>
    </w:lvl>
  </w:abstractNum>
  <w:num w:numId="1">
    <w:abstractNumId w:val="12349"/>
  </w:num>
  <w:num w:numId="2">
    <w:abstractNumId w:val="12350"/>
  </w:num>
  <w:num w:numId="3">
    <w:abstractNumId w:val="12351"/>
  </w:num>
  <w:num w:numId="4">
    <w:abstractNumId w:val="12352"/>
  </w:num>
  <w:num w:numId="5">
    <w:abstractNumId w:val="12353"/>
  </w:num>
  <w:num w:numId="6">
    <w:abstractNumId w:val="12354"/>
  </w:num>
  <w:num w:numId="7">
    <w:abstractNumId w:val="12355"/>
  </w:num>
  <w:num w:numId="8">
    <w:abstractNumId w:val="12356"/>
  </w:num>
  <w:num w:numId="9">
    <w:abstractNumId w:val="12357"/>
  </w:num>
  <w:num w:numId="10">
    <w:abstractNumId w:val="12358"/>
  </w:num>
  <w:num w:numId="11">
    <w:abstractNumId w:val="12359"/>
  </w:num>
  <w:num w:numId="12">
    <w:abstractNumId w:val="12360"/>
  </w:num>
  <w:num w:numId="13">
    <w:abstractNumId w:val="12361"/>
  </w:num>
  <w:num w:numId="14">
    <w:abstractNumId w:val="12362"/>
  </w:num>
  <w:num w:numId="15">
    <w:abstractNumId w:val="12363"/>
  </w:num>
  <w:num w:numId="16">
    <w:abstractNumId w:val="12364"/>
  </w:num>
  <w:num w:numId="17">
    <w:abstractNumId w:val="12365"/>
  </w:num>
  <w:num w:numId="18">
    <w:abstractNumId w:val="12366"/>
  </w:num>
  <w:num w:numId="19">
    <w:abstractNumId w:val="12367"/>
  </w:num>
  <w:num w:numId="20">
    <w:abstractNumId w:val="12368"/>
  </w:num>
  <w:num w:numId="21">
    <w:abstractNumId w:val="12369"/>
  </w:num>
  <w:num w:numId="22">
    <w:abstractNumId w:val="12370"/>
  </w:num>
  <w:num w:numId="23">
    <w:abstractNumId w:val="12371"/>
  </w:num>
  <w:num w:numId="24">
    <w:abstractNumId w:val="12372"/>
  </w:num>
  <w:num w:numId="25">
    <w:abstractNumId w:val="12373"/>
  </w:num>
  <w:num w:numId="26">
    <w:abstractNumId w:val="12374"/>
  </w:num>
  <w:num w:numId="27">
    <w:abstractNumId w:val="12375"/>
  </w:num>
  <w:num w:numId="28">
    <w:abstractNumId w:val="12376"/>
  </w:num>
  <w:num w:numId="29">
    <w:abstractNumId w:val="12377"/>
  </w:num>
  <w:num w:numId="30">
    <w:abstractNumId w:val="12378"/>
  </w:num>
  <w:num w:numId="31">
    <w:abstractNumId w:val="12379"/>
  </w:num>
  <w:num w:numId="32">
    <w:abstractNumId w:val="12380"/>
  </w:num>
  <w:num w:numId="33">
    <w:abstractNumId w:val="12381"/>
  </w:num>
  <w:num w:numId="34">
    <w:abstractNumId w:val="12382"/>
  </w:num>
  <w:num w:numId="35">
    <w:abstractNumId w:val="12383"/>
  </w:num>
  <w:num w:numId="36">
    <w:abstractNumId w:val="12384"/>
  </w:num>
  <w:num w:numId="37">
    <w:abstractNumId w:val="12385"/>
  </w:num>
  <w:num w:numId="38">
    <w:abstractNumId w:val="12386"/>
  </w:num>
  <w:num w:numId="39">
    <w:abstractNumId w:val="12387"/>
  </w:num>
  <w:num w:numId="40">
    <w:abstractNumId w:val="12388"/>
  </w:num>
  <w:num w:numId="41">
    <w:abstractNumId w:val="1238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hcnytq72r1ge.feishu.cn/minutes/obcnfo7hw655fo1ouv3kp4j9?t=454000" TargetMode="External" Type="http://schemas.openxmlformats.org/officeDocument/2006/relationships/hyperlink"/><Relationship Id="rId11" Target="https://hcnytq72r1ge.feishu.cn/minutes/obcnfo7hw655fo1ouv3kp4j9?t=934000" TargetMode="External" Type="http://schemas.openxmlformats.org/officeDocument/2006/relationships/hyperlink"/><Relationship Id="rId12" Target="https://hcnytq72r1ge.feishu.cn/minutes/obcnfo7hw655fo1ouv3kp4j9?t=1208000" TargetMode="External" Type="http://schemas.openxmlformats.org/officeDocument/2006/relationships/hyperlink"/><Relationship Id="rId13" Target="https://hcnytq72r1ge.feishu.cn/minutes/obcnfo7hw655fo1ouv3kp4j9?t=1413000" TargetMode="External" Type="http://schemas.openxmlformats.org/officeDocument/2006/relationships/hyperlink"/><Relationship Id="rId14" Target="https://hcnytq72r1ge.feishu.cn/minutes/obcnfo7hw655fo1ouv3kp4j9?t=1524000" TargetMode="External" Type="http://schemas.openxmlformats.org/officeDocument/2006/relationships/hyperlink"/><Relationship Id="rId15" Target="https://hcnytq72r1ge.feishu.cn/minutes/obcnfo7hw655fo1ouv3kp4j9?from=ai_minutes" TargetMode="External" Type="http://schemas.openxmlformats.org/officeDocument/2006/relationships/hyperlink"/><Relationship Id="rId16" Target="https://hcnytq72r1ge.feishu.cn/docx/BpWmd8MoAoSD5nxzzOucoBIingh" TargetMode="External" Type="http://schemas.openxmlformats.org/officeDocument/2006/relationships/hyperlink"/><Relationship Id="rId17"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jpe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https://hcnytq72r1ge.feishu.cn/minutes/obcnfo7hw655fo1ouv3kp4j9?t=5000" TargetMode="External" Type="http://schemas.openxmlformats.org/officeDocument/2006/relationships/hyperlink"/><Relationship Id="rId8" Target="https://hcnytq72r1ge.feishu.cn/minutes/obcnfo7hw655fo1ouv3kp4j9?t=224000" TargetMode="External" Type="http://schemas.openxmlformats.org/officeDocument/2006/relationships/hyperlink"/><Relationship Id="rId9" Target="https://hcnytq72r1ge.feishu.cn/minutes/obcnfo7hw655fo1ouv3kp4j9?t=360000"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2026-01-26T12:40:53Z</dcterms:created>
  <dc:creator>Apache POI</dc:creator>
</cp:coreProperties>
</file>