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智能纪要：5. 什么方法能够最快学习到DISC的精髓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会议主题：5. 什么方法能够最快学习到DISC的精髓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学习展开，介绍了学习 DISC 精髓的方法、学习过程中的三大基本原则以及实践的具体方式，内容如下：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 DISC 精髓的方法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摒弃旧思维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不局限于已知：说话人 1 提出，很多人认为自己知道 DISC 的相关内容，但知道并不代表会运用。课程体系部分内容虽与市面上相似，但也有独特之处，应将其视为温故而知新，若已掌握较多可加快学习速度。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克服惯性思维：学习新知识执行时易受惯性思维影响，如用经验主义判断他人，面对客户问题可能用旧方法应对。建议视频多看两遍，形成自己的理解，以便应用于不同场景解答专业问题。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多实践</w:t>
      </w:r>
      <w:r>
        <w:rPr>
          <w:rFonts w:eastAsia="等线" w:ascii="Arial" w:cs="Arial" w:hAnsi="Arial"/>
          <w:sz w:val="22"/>
        </w:rPr>
        <w:t>：说话人 1 表示，学习目的是学会上手，建议完整看完课程并实践，完成作业是获得认证的必要条件，会通过作业推动实践。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学习的三大基本原则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保持自我</w:t>
            </w:r>
            <w:r>
              <w:rPr>
                <w:rFonts w:eastAsia="等线" w:ascii="Arial" w:cs="Arial" w:hAnsi="Arial"/>
                <w:sz w:val="22"/>
              </w:rPr>
              <w:t>：要理解自己是有独立个性的人，能觉察自己在不同环境中的状态并调整适应。同时，学习过程中不要对号入座，因为任何性格和行为都有正反两面，学习核心是帮助客户。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适应他人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理解他人并调整相处方式：学习要不断理解不同类型人的想法和做法，用他们喜欢的方式相处，以帮助客户更快成功。不能用一套理论搞定所有人，不同性格的人学习方法和喜欢的老师类型不同。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不找借口与不贴标签：在 DISC 学习中要时刻提醒自己撕掉标签、不找借口，避免学习过程中遗忘。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1371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学习DISC的三大基本原则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理解环境对人的影响</w:t>
      </w:r>
      <w:r>
        <w:rPr>
          <w:rFonts w:eastAsia="等线" w:ascii="Arial" w:cs="Arial" w:hAnsi="Arial"/>
          <w:sz w:val="22"/>
        </w:rPr>
        <w:t>：会议强调，个性加环境等于行为，要深刻理解环境对人的影响。不同环境如学校、家庭、服务客户的环境等都会对人产生影响，后续会有专门章节讲解。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实践出真知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感知自己</w:t>
            </w:r>
            <w:r>
              <w:rPr>
                <w:rFonts w:eastAsia="等线" w:ascii="Arial" w:cs="Arial" w:hAnsi="Arial"/>
                <w:sz w:val="22"/>
              </w:rPr>
              <w:t>：说话人 1 建议做不同场景的 DISC 测评，如工作版、家庭版、校园版等，对自己进行深度解读。解读后可通过询问身边人进行验证，建立自我感知。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感知他人</w:t>
            </w:r>
            <w:r>
              <w:rPr>
                <w:rFonts w:eastAsia="等线" w:ascii="Arial" w:cs="Arial" w:hAnsi="Arial"/>
                <w:sz w:val="22"/>
              </w:rPr>
              <w:t>：深度解读自己后，能更好地理解身边人，从忍受转变为接受，若能调整自己的行为适应他人，达到享受相处的状态则是大神级别。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790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DISC实践三大方向及具体做法</w:t>
              <w:br/>
            </w:r>
          </w:p>
        </w:tc>
      </w:tr>
    </w:tbl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感知环境</w:t>
      </w:r>
      <w:r>
        <w:rPr>
          <w:rFonts w:eastAsia="等线" w:ascii="Arial" w:cs="Arial" w:hAnsi="Arial"/>
          <w:sz w:val="22"/>
        </w:rPr>
        <w:t>：通过在不同场景下做 DISC 测评，如在公司对上级、下属、平级同事，在家庭对不同成员等，加强对环境的感知。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DISC学习精髓及知识转化关键在于行动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接下来要进入更快学习DISC精髓阶段，指出市面上关于DISC及管理学的书和视频内容多有重复，背后底层逻辑相近。强调知识转化关键在于行动，看再多资料不如拿案例开口说、解读来得快，从知道到做到有时间、距离和障碍，此页PPT是第一阶段最后一页，即将开启深度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01:42</w:t>
        </w:r>
      </w:hyperlink>
      <w:r>
        <w:rPr>
          <w:rFonts w:eastAsia="等线" w:ascii="Arial" w:cs="Arial" w:hAnsi="Arial"/>
          <w:b w:val="true"/>
          <w:sz w:val="22"/>
        </w:rPr>
        <w:t xml:space="preserve">  DISC章节学习心法及实践作业要求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 DISC 精髓的心法。一是要摒弃旧思维，虽部分内容与市面相似，但课程结合报告解读有独特之处，掌握多可加速观看。二是克服惯性思维，建议视频看一到两遍，形成自己的理解以应对不同场景。三是尽量把知识讲简单，建议完整看完课程并实践，完成作业以通过认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05:47</w:t>
        </w:r>
      </w:hyperlink>
      <w:r>
        <w:rPr>
          <w:rFonts w:eastAsia="等线" w:ascii="Arial" w:cs="Arial" w:hAnsi="Arial"/>
          <w:b w:val="true"/>
          <w:sz w:val="22"/>
        </w:rPr>
        <w:t xml:space="preserve">  学习三大基本原则及环境对人的影响讲解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学习的三大基本原则。一是保持自我，认识自己并调整适应环境，学习时别对号入座；二是适应他人，理解不同类型的人，用其喜欢的方式相处，不给自己找借口、不给别人贴标签；三是深刻理解环境对人的影响，个性加环境等于行为，后续有专门章节讲解此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09:35</w:t>
        </w:r>
      </w:hyperlink>
      <w:r>
        <w:rPr>
          <w:rFonts w:eastAsia="等线" w:ascii="Arial" w:cs="Arial" w:hAnsi="Arial"/>
          <w:b w:val="true"/>
          <w:sz w:val="22"/>
        </w:rPr>
        <w:t xml:space="preserve">  学习DISC：深度剖析自我、感知他人与环境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DISC要实践出真知，具体包括三方面。一是感知自己，做不同场景的DISC报告并深度解读，还可询问身边人验证；二是感知他人，深度解读自己后理解、接受他人，调整行为适应他人；三是感知环境，在不同场景下做DISC测试，加强对环境的感知，这是学习DISC的精髓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：采用实践与学习相结合的方式深入学习 DISC 精髓。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：如何更快学习到 DISC 的精髓。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提出要撇弃旧思维，将课程当作温故而知新，可根据自身掌握情况调整学习语速。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建议多看课程视频，形成自己的理解，以应对不同场景的问题。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强调实践出真知，要完成作业，通过实践将知识转化为能力。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：知识转化的关键在于行动，从知道到做到需要实践，且课程结合报告解读有独特之处，实践能更好掌握 DISC 精髓。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学习过程要遵循保持自我、适应他人、不给自己找借口和不给别人贴标签、深刻理解环境对人的影响这三大基本原则。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建议做不同版本不同场景的 DISC 测试，深度解剖自己，再去解读别人。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通过感知自己、他人和环境，加强对 DISC 的理解和应用。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「任何人都可以去读一本书，或者参加课程培训，但是把知识转化的关键在于行动。」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强调了知识转化需要行动，点明学习 DISC 要注重实践的核心观点。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「知道不代表会运用。」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简洁有力地指出了学习知识不能仅停留在知晓层面，要重视运用能力。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「实践出真知，这一定是我们学习 DISC 的一个最精髓的一个点了。」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明确了实践在学习 DISC 中的重要地位，是突出会议主题核心观点的关键发言。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5. 什么方法能够最快学习到DISC的精髓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5. 什么方法能够最快学习到DISC的精髓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94">
    <w:lvl>
      <w:numFmt w:val="bullet"/>
      <w:suff w:val="tab"/>
      <w:lvlText w:val="•"/>
      <w:rPr>
        <w:color w:val="3370ff"/>
      </w:rPr>
    </w:lvl>
  </w:abstractNum>
  <w:abstractNum w:abstractNumId="2395">
    <w:lvl>
      <w:numFmt w:val="bullet"/>
      <w:suff w:val="tab"/>
      <w:lvlText w:val="￮"/>
      <w:rPr>
        <w:color w:val="3370ff"/>
      </w:rPr>
    </w:lvl>
  </w:abstractNum>
  <w:abstractNum w:abstractNumId="2396">
    <w:lvl>
      <w:numFmt w:val="bullet"/>
      <w:suff w:val="tab"/>
      <w:lvlText w:val="▪"/>
      <w:rPr>
        <w:color w:val="3370ff"/>
        <w:sz w:val="11"/>
      </w:rPr>
    </w:lvl>
  </w:abstractNum>
  <w:abstractNum w:abstractNumId="2397">
    <w:lvl>
      <w:numFmt w:val="bullet"/>
      <w:suff w:val="tab"/>
      <w:lvlText w:val="▪"/>
      <w:rPr>
        <w:color w:val="3370ff"/>
        <w:sz w:val="11"/>
      </w:rPr>
    </w:lvl>
  </w:abstractNum>
  <w:abstractNum w:abstractNumId="2398">
    <w:lvl>
      <w:numFmt w:val="bullet"/>
      <w:suff w:val="tab"/>
      <w:lvlText w:val="￮"/>
      <w:rPr>
        <w:color w:val="3370ff"/>
      </w:rPr>
    </w:lvl>
  </w:abstractNum>
  <w:abstractNum w:abstractNumId="2399">
    <w:lvl>
      <w:numFmt w:val="bullet"/>
      <w:suff w:val="tab"/>
      <w:lvlText w:val="•"/>
      <w:rPr>
        <w:color w:val="3370ff"/>
      </w:rPr>
    </w:lvl>
  </w:abstractNum>
  <w:abstractNum w:abstractNumId="2400">
    <w:lvl>
      <w:numFmt w:val="bullet"/>
      <w:suff w:val="tab"/>
      <w:lvlText w:val="•"/>
      <w:rPr>
        <w:color w:val="3370ff"/>
      </w:rPr>
    </w:lvl>
  </w:abstractNum>
  <w:abstractNum w:abstractNumId="2401">
    <w:lvl>
      <w:numFmt w:val="bullet"/>
      <w:suff w:val="tab"/>
      <w:lvlText w:val="•"/>
      <w:rPr>
        <w:color w:val="3370ff"/>
      </w:rPr>
    </w:lvl>
  </w:abstractNum>
  <w:abstractNum w:abstractNumId="2402">
    <w:lvl>
      <w:numFmt w:val="bullet"/>
      <w:suff w:val="tab"/>
      <w:lvlText w:val="￮"/>
      <w:rPr>
        <w:color w:val="3370ff"/>
      </w:rPr>
    </w:lvl>
  </w:abstractNum>
  <w:abstractNum w:abstractNumId="2403">
    <w:lvl>
      <w:numFmt w:val="bullet"/>
      <w:suff w:val="tab"/>
      <w:lvlText w:val="￮"/>
      <w:rPr>
        <w:color w:val="3370ff"/>
      </w:rPr>
    </w:lvl>
  </w:abstractNum>
  <w:abstractNum w:abstractNumId="2404">
    <w:lvl>
      <w:numFmt w:val="bullet"/>
      <w:suff w:val="tab"/>
      <w:lvlText w:val="￮"/>
      <w:rPr>
        <w:color w:val="3370ff"/>
      </w:rPr>
    </w:lvl>
  </w:abstractNum>
  <w:abstractNum w:abstractNumId="2405">
    <w:lvl>
      <w:numFmt w:val="bullet"/>
      <w:suff w:val="tab"/>
      <w:lvlText w:val="•"/>
      <w:rPr>
        <w:color w:val="3370ff"/>
      </w:rPr>
    </w:lvl>
  </w:abstractNum>
  <w:abstractNum w:abstractNumId="2406">
    <w:lvl>
      <w:numFmt w:val="bullet"/>
      <w:suff w:val="tab"/>
      <w:lvlText w:val="•"/>
      <w:rPr>
        <w:color w:val="3370ff"/>
      </w:rPr>
    </w:lvl>
  </w:abstractNum>
  <w:abstractNum w:abstractNumId="2407">
    <w:lvl>
      <w:numFmt w:val="bullet"/>
      <w:suff w:val="tab"/>
      <w:lvlText w:val="•"/>
      <w:rPr>
        <w:color w:val="3370ff"/>
      </w:rPr>
    </w:lvl>
  </w:abstractNum>
  <w:abstractNum w:abstractNumId="2408">
    <w:lvl>
      <w:numFmt w:val="bullet"/>
      <w:suff w:val="tab"/>
      <w:lvlText w:val="￮"/>
      <w:rPr>
        <w:color w:val="3370ff"/>
      </w:rPr>
    </w:lvl>
  </w:abstractNum>
  <w:abstractNum w:abstractNumId="2409">
    <w:lvl>
      <w:numFmt w:val="bullet"/>
      <w:suff w:val="tab"/>
      <w:lvlText w:val="•"/>
      <w:rPr>
        <w:color w:val="3370ff"/>
      </w:rPr>
    </w:lvl>
  </w:abstractNum>
  <w:abstractNum w:abstractNumId="2410">
    <w:lvl>
      <w:numFmt w:val="bullet"/>
      <w:suff w:val="tab"/>
      <w:lvlText w:val="￮"/>
      <w:rPr>
        <w:color w:val="3370ff"/>
      </w:rPr>
    </w:lvl>
  </w:abstractNum>
  <w:abstractNum w:abstractNumId="2411">
    <w:lvl>
      <w:numFmt w:val="bullet"/>
      <w:suff w:val="tab"/>
      <w:lvlText w:val="￮"/>
      <w:rPr>
        <w:color w:val="3370ff"/>
      </w:rPr>
    </w:lvl>
  </w:abstractNum>
  <w:abstractNum w:abstractNumId="2412">
    <w:lvl>
      <w:numFmt w:val="bullet"/>
      <w:suff w:val="tab"/>
      <w:lvlText w:val="▪"/>
      <w:rPr>
        <w:color w:val="3370ff"/>
        <w:sz w:val="11"/>
      </w:rPr>
    </w:lvl>
  </w:abstractNum>
  <w:abstractNum w:abstractNumId="2413">
    <w:lvl>
      <w:numFmt w:val="bullet"/>
      <w:suff w:val="tab"/>
      <w:lvlText w:val="▪"/>
      <w:rPr>
        <w:color w:val="3370ff"/>
        <w:sz w:val="11"/>
      </w:rPr>
    </w:lvl>
  </w:abstractNum>
  <w:abstractNum w:abstractNumId="2414">
    <w:lvl>
      <w:numFmt w:val="bullet"/>
      <w:suff w:val="tab"/>
      <w:lvlText w:val="▪"/>
      <w:rPr>
        <w:color w:val="3370ff"/>
        <w:sz w:val="11"/>
      </w:rPr>
    </w:lvl>
  </w:abstractNum>
  <w:abstractNum w:abstractNumId="2415">
    <w:lvl>
      <w:numFmt w:val="bullet"/>
      <w:suff w:val="tab"/>
      <w:lvlText w:val="￮"/>
      <w:rPr>
        <w:color w:val="3370ff"/>
      </w:rPr>
    </w:lvl>
  </w:abstractNum>
  <w:abstractNum w:abstractNumId="2416">
    <w:lvl>
      <w:numFmt w:val="bullet"/>
      <w:suff w:val="tab"/>
      <w:lvlText w:val="•"/>
      <w:rPr>
        <w:color w:val="3370ff"/>
      </w:rPr>
    </w:lvl>
  </w:abstractNum>
  <w:abstractNum w:abstractNumId="2417">
    <w:lvl>
      <w:start w:val="1"/>
      <w:numFmt w:val="lowerLetter"/>
      <w:suff w:val="tab"/>
      <w:lvlText w:val="%1."/>
      <w:rPr>
        <w:color w:val="3370ff"/>
      </w:rPr>
    </w:lvl>
  </w:abstractNum>
  <w:abstractNum w:abstractNumId="2418">
    <w:lvl>
      <w:start w:val="2"/>
      <w:numFmt w:val="lowerLetter"/>
      <w:suff w:val="tab"/>
      <w:lvlText w:val="%1."/>
      <w:rPr>
        <w:color w:val="3370ff"/>
      </w:rPr>
    </w:lvl>
  </w:abstractNum>
  <w:abstractNum w:abstractNumId="2419">
    <w:lvl>
      <w:start w:val="3"/>
      <w:numFmt w:val="lowerLetter"/>
      <w:suff w:val="tab"/>
      <w:lvlText w:val="%1."/>
      <w:rPr>
        <w:color w:val="3370ff"/>
      </w:rPr>
    </w:lvl>
  </w:abstractNum>
  <w:abstractNum w:abstractNumId="2420">
    <w:lvl>
      <w:numFmt w:val="bullet"/>
      <w:suff w:val="tab"/>
      <w:lvlText w:val="•"/>
      <w:rPr>
        <w:color w:val="3370ff"/>
      </w:rPr>
    </w:lvl>
  </w:abstractNum>
  <w:abstractNum w:abstractNumId="2421">
    <w:lvl>
      <w:numFmt w:val="bullet"/>
      <w:suff w:val="tab"/>
      <w:lvlText w:val="•"/>
      <w:rPr>
        <w:color w:val="3370ff"/>
      </w:rPr>
    </w:lvl>
  </w:abstractNum>
  <w:abstractNum w:abstractNumId="2422">
    <w:lvl>
      <w:numFmt w:val="bullet"/>
      <w:suff w:val="tab"/>
      <w:lvlText w:val="￮"/>
      <w:rPr>
        <w:color w:val="3370ff"/>
      </w:rPr>
    </w:lvl>
  </w:abstractNum>
  <w:num w:numId="1">
    <w:abstractNumId w:val="2394"/>
  </w:num>
  <w:num w:numId="2">
    <w:abstractNumId w:val="2395"/>
  </w:num>
  <w:num w:numId="3">
    <w:abstractNumId w:val="2396"/>
  </w:num>
  <w:num w:numId="4">
    <w:abstractNumId w:val="2397"/>
  </w:num>
  <w:num w:numId="5">
    <w:abstractNumId w:val="2398"/>
  </w:num>
  <w:num w:numId="6">
    <w:abstractNumId w:val="2399"/>
  </w:num>
  <w:num w:numId="7">
    <w:abstractNumId w:val="2400"/>
  </w:num>
  <w:num w:numId="8">
    <w:abstractNumId w:val="2401"/>
  </w:num>
  <w:num w:numId="9">
    <w:abstractNumId w:val="2402"/>
  </w:num>
  <w:num w:numId="10">
    <w:abstractNumId w:val="2403"/>
  </w:num>
  <w:num w:numId="11">
    <w:abstractNumId w:val="2404"/>
  </w:num>
  <w:num w:numId="12">
    <w:abstractNumId w:val="2405"/>
  </w:num>
  <w:num w:numId="13">
    <w:abstractNumId w:val="2406"/>
  </w:num>
  <w:num w:numId="14">
    <w:abstractNumId w:val="2407"/>
  </w:num>
  <w:num w:numId="15">
    <w:abstractNumId w:val="2408"/>
  </w:num>
  <w:num w:numId="16">
    <w:abstractNumId w:val="2409"/>
  </w:num>
  <w:num w:numId="17">
    <w:abstractNumId w:val="2410"/>
  </w:num>
  <w:num w:numId="18">
    <w:abstractNumId w:val="2411"/>
  </w:num>
  <w:num w:numId="19">
    <w:abstractNumId w:val="2412"/>
  </w:num>
  <w:num w:numId="20">
    <w:abstractNumId w:val="2413"/>
  </w:num>
  <w:num w:numId="21">
    <w:abstractNumId w:val="2414"/>
  </w:num>
  <w:num w:numId="22">
    <w:abstractNumId w:val="2415"/>
  </w:num>
  <w:num w:numId="23">
    <w:abstractNumId w:val="2416"/>
  </w:num>
  <w:num w:numId="24">
    <w:abstractNumId w:val="2417"/>
  </w:num>
  <w:num w:numId="25">
    <w:abstractNumId w:val="2418"/>
  </w:num>
  <w:num w:numId="26">
    <w:abstractNumId w:val="2419"/>
  </w:num>
  <w:num w:numId="27">
    <w:abstractNumId w:val="2420"/>
  </w:num>
  <w:num w:numId="28">
    <w:abstractNumId w:val="2421"/>
  </w:num>
  <w:num w:numId="29">
    <w:abstractNumId w:val="24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92c87g5z34mz13sfv9?t=347000" TargetMode="External" Type="http://schemas.openxmlformats.org/officeDocument/2006/relationships/hyperlink"/><Relationship Id="rId11" Target="https://hcnytq72r1ge.feishu.cn/minutes/obcnfo92c87g5z34mz13sfv9?t=575000" TargetMode="External" Type="http://schemas.openxmlformats.org/officeDocument/2006/relationships/hyperlink"/><Relationship Id="rId12" Target="https://hcnytq72r1ge.feishu.cn/minutes/obcnfo92c87g5z34mz13sfv9?from=ai_minutes" TargetMode="External" Type="http://schemas.openxmlformats.org/officeDocument/2006/relationships/hyperlink"/><Relationship Id="rId13" Target="https://hcnytq72r1ge.feishu.cn/docx/AimKd8aylowZs9xj5IocaKqYnLc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92c87g5z34mz13sfv9?t=6000" TargetMode="External" Type="http://schemas.openxmlformats.org/officeDocument/2006/relationships/hyperlink"/><Relationship Id="rId9" Target="https://hcnytq72r1ge.feishu.cn/minutes/obcnfo92c87g5z34mz13sfv9?t=10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2026-01-26T11:35:48Z</dcterms:created>
  <dc:creator>Apache POI</dc:creator>
</cp:coreProperties>
</file>