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智能纪要：7. 如何学习第二章节(导读)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会议主题：7. 如何学习第二章节(导读)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22:46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57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本次会议主要围绕学习的第二章节展开，介绍了该章节五个小节的内容及学习要求，强调了各小节在服务学生家长、专业考核等方面的重要性，内容如下：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第二章节学习重要性</w:t>
      </w:r>
      <w:r>
        <w:rPr>
          <w:rFonts w:eastAsia="等线" w:ascii="Arial" w:cs="Arial" w:hAnsi="Arial"/>
          <w:sz w:val="22"/>
        </w:rPr>
        <w:t>：说话人 1 表示，第二章节学习时间长、任务重，学习吸收情况决定后续能否服务好学生家长，包括预测家长行为、进行动力激发等。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各小节内容及要求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基础理论</w:t>
      </w:r>
      <w:r>
        <w:rPr>
          <w:rFonts w:eastAsia="等线" w:ascii="Arial" w:cs="Arial" w:hAnsi="Arial"/>
          <w:sz w:val="22"/>
        </w:rPr>
        <w:t>：此环节相对简单，无需死记硬背，做到基本掌握即可。孩子出于好奇询问较多，偶尔家长也会问，需能回答上来。与家长交流时可直接说，对孩子可用讲故事方式。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认识 DISC 类型</w:t>
      </w:r>
      <w:r>
        <w:rPr>
          <w:rFonts w:eastAsia="等线" w:ascii="Arial" w:cs="Arial" w:hAnsi="Arial"/>
          <w:sz w:val="22"/>
        </w:rPr>
        <w:t>：若老师已有 DISC 相关基础，看过相关视频或书，可选择不看此环节内容。此环节会详细讲解高位四个动物的行为表现、喜好、压力来源等，且会纳入考核。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高手读图形</w:t>
      </w:r>
      <w:r>
        <w:rPr>
          <w:rFonts w:eastAsia="等线" w:ascii="Arial" w:cs="Arial" w:hAnsi="Arial"/>
          <w:sz w:val="22"/>
        </w:rPr>
        <w:t>：这是整个学习环节最重要的部分，市面上的书和视频都看不到相关内容。新手按报告文字解读，高手读报告开头的三幅图即可呈现专业度。此环节考试必考，且有一定难度，不能跳过。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服务客户流程</w:t>
      </w:r>
      <w:r>
        <w:rPr>
          <w:rFonts w:eastAsia="等线" w:ascii="Arial" w:cs="Arial" w:hAnsi="Arial"/>
          <w:sz w:val="22"/>
        </w:rPr>
        <w:t>：此环节相对简单，可通过练习掌握，不得已时可将流程记下来、背下来。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案例作业</w:t>
      </w:r>
      <w:r>
        <w:rPr>
          <w:rFonts w:eastAsia="等线" w:ascii="Arial" w:cs="Arial" w:hAnsi="Arial"/>
          <w:sz w:val="22"/>
        </w:rPr>
        <w:t>：说话人 1 担心部分老师不做案例练习，因此布置作业，强制大家拿案例练习。不做案例直接上手给客户解读 DISC 有风险，且会显得不够专业。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79"/>
        <w:gridCol w:w="7120"/>
        <w:gridCol w:w="579"/>
      </w:tblGrid>
      <w:tr>
        <w:tc>
          <w:tcPr>
            <w:tcW w:w="5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4362450" cy="1285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第二章节各小节学习要求对比</w:t>
              <w:br/>
            </w:r>
          </w:p>
        </w:tc>
        <w:tc>
          <w:tcPr>
            <w:tcW w:w="57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第二章节学习重要，关乎学生家长服务成效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本章节进入整个学习中时间较长、任务最重要的第二章节学习。此环节学习效果至关重要，后续能否服务好学生家长、预测其行为以及做好动力激发等工作，都取决于学员在该环节学习内容的吸收情况。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00:39</w:t>
        </w:r>
      </w:hyperlink>
      <w:r>
        <w:rPr>
          <w:rFonts w:eastAsia="等线" w:ascii="Arial" w:cs="Arial" w:hAnsi="Arial"/>
          <w:b w:val="true"/>
          <w:sz w:val="22"/>
        </w:rPr>
        <w:t xml:space="preserve">  内容五小节介绍，基础理论讲解与应对方法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内容分为五个小节，说话人1先介绍了第一小节基础理论。此环节无需死记硬背，基本掌握即可，因为孩子出于好奇常询问，偶尔家长也会问，被问时要能答上来。讲解中提及很多有意思的来源，跟家长讲述时可直接说，跟孩子讲则宜采用讲故事的方式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01:30</w:t>
        </w:r>
      </w:hyperlink>
      <w:r>
        <w:rPr>
          <w:rFonts w:eastAsia="等线" w:ascii="Arial" w:cs="Arial" w:hAnsi="Arial"/>
          <w:b w:val="true"/>
          <w:sz w:val="22"/>
        </w:rPr>
        <w:t xml:space="preserve">  DISC类型讲解环节说明及考核要求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认识DISC四个类型的环节。若老师已有DISC基础，看过相关视频或书籍，此环节可选择看不看，但该内容会纳入考核，若答题答错或答不出不行。因每位老师掌握情况不同，有基础可不看，没掌握则必须看，讲解会涉及高位四个动物的行为表现、喜好、压力来源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02:26</w:t>
        </w:r>
      </w:hyperlink>
      <w:r>
        <w:rPr>
          <w:rFonts w:eastAsia="等线" w:ascii="Arial" w:cs="Arial" w:hAnsi="Arial"/>
          <w:b w:val="true"/>
          <w:sz w:val="22"/>
        </w:rPr>
        <w:t xml:space="preserve">  学习环节重点、考试要点及客户服务流程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环节中一个基于测评开发、在市面资料中看不到的环节极为重要，不可跳过。此环节为“高手读图形”，即通过看报告前三幅图而非整份报告进行解读，能展现专业度，考试也会涉及且有一定难度。此外，还提到服务客户的完整流程相对简单，可通过练习或背诵解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04:12</w:t>
        </w:r>
      </w:hyperlink>
      <w:r>
        <w:rPr>
          <w:rFonts w:eastAsia="等线" w:ascii="Arial" w:cs="Arial" w:hAnsi="Arial"/>
          <w:b w:val="true"/>
          <w:sz w:val="22"/>
        </w:rPr>
        <w:t xml:space="preserve">  第五环节案例流程及布置实操作业的必要性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介绍第五个环节，会用案例带大家走流程并提问，同时强调要布置作业，逼迫老师们拿案例练习。说话人指出若不做案例练习，直接上手给客户解读DISC有风险，还会显得不够专业，只有做案例练习，才更有可能准确专业地为客户解读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：明确第二章节学习的各小节要求和重要性。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：如何让老师有效学习第二章节内容，为服务学生家长做好准备。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 1 提出基础理论部分只需基本掌握，能回答孩子和家长的问题即可。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认识 DISC 四个类型环节，有基础的老师可选择不看，但该部分在考核范围内。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高手读图形环节是必学内容，不能跳过，此环节难度稍大且考试必考。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服务客户完整流程部分可通过练习和记忆解决。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布置案例作业，督促老师练习案例解剖。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：为了让老师更好地掌握知识，提升服务学生家长的能力，确保在实际工作中能够专业、有效地解读 DISC 相关内容。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「接下来的学习环节是整个学习时间较长、任务最重要的环节，后续能否服务好学生家长，就看这个环节的学习吸收情况。」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突出了此学习环节的重要性，让老师明确学习目标和方向。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「新手读文字，高手读图形。真正的高手能通过报告开头的三幅图进行解读，而无需看完整报告，这样能向家长呈现专业度。」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提出了独特的学习观点，区分了新手和高手的解读方式，强调了读图形的重要性。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「不做案例直接上手给客户解读 DISC 有风险，且会显得不够专业。」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强调了案例练习的重要性，提醒老师要注重实践。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7. 如何学习第二章节(导读)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7. 如何学习第二章节(导读) 2026年1月22日</w:t>
        </w:r>
      </w:hyperlink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3933">
    <w:lvl>
      <w:numFmt w:val="bullet"/>
      <w:suff w:val="tab"/>
      <w:lvlText w:val="•"/>
      <w:rPr>
        <w:color w:val="3370ff"/>
      </w:rPr>
    </w:lvl>
  </w:abstractNum>
  <w:abstractNum w:abstractNumId="133934">
    <w:lvl>
      <w:numFmt w:val="bullet"/>
      <w:suff w:val="tab"/>
      <w:lvlText w:val="•"/>
      <w:rPr>
        <w:color w:val="3370ff"/>
      </w:rPr>
    </w:lvl>
  </w:abstractNum>
  <w:abstractNum w:abstractNumId="133935">
    <w:lvl>
      <w:numFmt w:val="bullet"/>
      <w:suff w:val="tab"/>
      <w:lvlText w:val="￮"/>
      <w:rPr>
        <w:color w:val="3370ff"/>
      </w:rPr>
    </w:lvl>
  </w:abstractNum>
  <w:abstractNum w:abstractNumId="133936">
    <w:lvl>
      <w:numFmt w:val="bullet"/>
      <w:suff w:val="tab"/>
      <w:lvlText w:val="￮"/>
      <w:rPr>
        <w:color w:val="3370ff"/>
      </w:rPr>
    </w:lvl>
  </w:abstractNum>
  <w:abstractNum w:abstractNumId="133937">
    <w:lvl>
      <w:numFmt w:val="bullet"/>
      <w:suff w:val="tab"/>
      <w:lvlText w:val="￮"/>
      <w:rPr>
        <w:color w:val="3370ff"/>
      </w:rPr>
    </w:lvl>
  </w:abstractNum>
  <w:abstractNum w:abstractNumId="133938">
    <w:lvl>
      <w:numFmt w:val="bullet"/>
      <w:suff w:val="tab"/>
      <w:lvlText w:val="￮"/>
      <w:rPr>
        <w:color w:val="3370ff"/>
      </w:rPr>
    </w:lvl>
  </w:abstractNum>
  <w:abstractNum w:abstractNumId="133939">
    <w:lvl>
      <w:numFmt w:val="bullet"/>
      <w:suff w:val="tab"/>
      <w:lvlText w:val="￮"/>
      <w:rPr>
        <w:color w:val="3370ff"/>
      </w:rPr>
    </w:lvl>
  </w:abstractNum>
  <w:abstractNum w:abstractNumId="133940">
    <w:lvl>
      <w:numFmt w:val="bullet"/>
      <w:suff w:val="tab"/>
      <w:lvlText w:val="•"/>
      <w:rPr>
        <w:color w:val="3370ff"/>
      </w:rPr>
    </w:lvl>
  </w:abstractNum>
  <w:abstractNum w:abstractNumId="133941">
    <w:lvl>
      <w:numFmt w:val="bullet"/>
      <w:suff w:val="tab"/>
      <w:lvlText w:val="￮"/>
      <w:rPr>
        <w:color w:val="3370ff"/>
      </w:rPr>
    </w:lvl>
  </w:abstractNum>
  <w:abstractNum w:abstractNumId="133942">
    <w:lvl>
      <w:numFmt w:val="bullet"/>
      <w:suff w:val="tab"/>
      <w:lvlText w:val="￮"/>
      <w:rPr>
        <w:color w:val="3370ff"/>
      </w:rPr>
    </w:lvl>
  </w:abstractNum>
  <w:abstractNum w:abstractNumId="133943">
    <w:lvl>
      <w:numFmt w:val="bullet"/>
      <w:suff w:val="tab"/>
      <w:lvlText w:val="▪"/>
      <w:rPr>
        <w:color w:val="3370ff"/>
        <w:sz w:val="11"/>
      </w:rPr>
    </w:lvl>
  </w:abstractNum>
  <w:abstractNum w:abstractNumId="133944">
    <w:lvl>
      <w:numFmt w:val="bullet"/>
      <w:suff w:val="tab"/>
      <w:lvlText w:val="▪"/>
      <w:rPr>
        <w:color w:val="3370ff"/>
        <w:sz w:val="11"/>
      </w:rPr>
    </w:lvl>
  </w:abstractNum>
  <w:abstractNum w:abstractNumId="133945">
    <w:lvl>
      <w:numFmt w:val="bullet"/>
      <w:suff w:val="tab"/>
      <w:lvlText w:val="▪"/>
      <w:rPr>
        <w:color w:val="3370ff"/>
        <w:sz w:val="11"/>
      </w:rPr>
    </w:lvl>
  </w:abstractNum>
  <w:abstractNum w:abstractNumId="133946">
    <w:lvl>
      <w:numFmt w:val="bullet"/>
      <w:suff w:val="tab"/>
      <w:lvlText w:val="▪"/>
      <w:rPr>
        <w:color w:val="3370ff"/>
        <w:sz w:val="11"/>
      </w:rPr>
    </w:lvl>
  </w:abstractNum>
  <w:abstractNum w:abstractNumId="133947">
    <w:lvl>
      <w:numFmt w:val="bullet"/>
      <w:suff w:val="tab"/>
      <w:lvlText w:val="▪"/>
      <w:rPr>
        <w:color w:val="3370ff"/>
        <w:sz w:val="11"/>
      </w:rPr>
    </w:lvl>
  </w:abstractNum>
  <w:abstractNum w:abstractNumId="133948">
    <w:lvl>
      <w:numFmt w:val="bullet"/>
      <w:suff w:val="tab"/>
      <w:lvlText w:val="￮"/>
      <w:rPr>
        <w:color w:val="3370ff"/>
      </w:rPr>
    </w:lvl>
  </w:abstractNum>
  <w:abstractNum w:abstractNumId="133949">
    <w:lvl>
      <w:numFmt w:val="bullet"/>
      <w:suff w:val="tab"/>
      <w:lvlText w:val="•"/>
      <w:rPr>
        <w:color w:val="3370ff"/>
      </w:rPr>
    </w:lvl>
  </w:abstractNum>
  <w:abstractNum w:abstractNumId="133950">
    <w:lvl>
      <w:numFmt w:val="bullet"/>
      <w:suff w:val="tab"/>
      <w:lvlText w:val="•"/>
      <w:rPr>
        <w:color w:val="3370ff"/>
      </w:rPr>
    </w:lvl>
  </w:abstractNum>
  <w:abstractNum w:abstractNumId="133951">
    <w:lvl>
      <w:numFmt w:val="bullet"/>
      <w:suff w:val="tab"/>
      <w:lvlText w:val="￮"/>
      <w:rPr>
        <w:color w:val="3370ff"/>
      </w:rPr>
    </w:lvl>
  </w:abstractNum>
  <w:num w:numId="1">
    <w:abstractNumId w:val="133933"/>
  </w:num>
  <w:num w:numId="2">
    <w:abstractNumId w:val="133934"/>
  </w:num>
  <w:num w:numId="3">
    <w:abstractNumId w:val="133935"/>
  </w:num>
  <w:num w:numId="4">
    <w:abstractNumId w:val="133936"/>
  </w:num>
  <w:num w:numId="5">
    <w:abstractNumId w:val="133937"/>
  </w:num>
  <w:num w:numId="6">
    <w:abstractNumId w:val="133938"/>
  </w:num>
  <w:num w:numId="7">
    <w:abstractNumId w:val="133939"/>
  </w:num>
  <w:num w:numId="8">
    <w:abstractNumId w:val="133940"/>
  </w:num>
  <w:num w:numId="9">
    <w:abstractNumId w:val="133941"/>
  </w:num>
  <w:num w:numId="10">
    <w:abstractNumId w:val="133942"/>
  </w:num>
  <w:num w:numId="11">
    <w:abstractNumId w:val="133943"/>
  </w:num>
  <w:num w:numId="12">
    <w:abstractNumId w:val="133944"/>
  </w:num>
  <w:num w:numId="13">
    <w:abstractNumId w:val="133945"/>
  </w:num>
  <w:num w:numId="14">
    <w:abstractNumId w:val="133946"/>
  </w:num>
  <w:num w:numId="15">
    <w:abstractNumId w:val="133947"/>
  </w:num>
  <w:num w:numId="16">
    <w:abstractNumId w:val="133948"/>
  </w:num>
  <w:num w:numId="17">
    <w:abstractNumId w:val="133949"/>
  </w:num>
  <w:num w:numId="18">
    <w:abstractNumId w:val="133950"/>
  </w:num>
  <w:num w:numId="19">
    <w:abstractNumId w:val="1339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h6l624m45vo9ze43yb?t=146000" TargetMode="External" Type="http://schemas.openxmlformats.org/officeDocument/2006/relationships/hyperlink"/><Relationship Id="rId11" Target="https://hcnytq72r1ge.feishu.cn/minutes/obcnfoh6l624m45vo9ze43yb?t=252000" TargetMode="External" Type="http://schemas.openxmlformats.org/officeDocument/2006/relationships/hyperlink"/><Relationship Id="rId12" Target="https://hcnytq72r1ge.feishu.cn/minutes/obcnfoh6l624m45vo9ze43yb?from=ai_minutes" TargetMode="External" Type="http://schemas.openxmlformats.org/officeDocument/2006/relationships/hyperlink"/><Relationship Id="rId13" Target="https://hcnytq72r1ge.feishu.cn/docx/DwrRdotSbo5JDBx2ZAbcmHkwnsf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h6l624m45vo9ze43yb?t=6000" TargetMode="External" Type="http://schemas.openxmlformats.org/officeDocument/2006/relationships/hyperlink"/><Relationship Id="rId8" Target="https://hcnytq72r1ge.feishu.cn/minutes/obcnfoh6l624m45vo9ze43yb?t=39000" TargetMode="External" Type="http://schemas.openxmlformats.org/officeDocument/2006/relationships/hyperlink"/><Relationship Id="rId9" Target="https://hcnytq72r1ge.feishu.cn/minutes/obcnfoh6l624m45vo9ze43yb?t=90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2026-01-26T11:37:53Z</dcterms:created>
  <dc:creator>Apache POI</dc:creator>
</cp:coreProperties>
</file>