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智能纪要：规划师课程 - 加餐课1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会议主题：规划师课程 - 加餐课1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23:28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72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本次会议由杨洋老师围绕全新服务手册展开讲解，涵盖产品项目与价格设定、长期服务模式、学习靶向提升完整流程等内容，旨在帮助大家掌握服务手册的使用方法及相关业务操作要点，内容如下：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服务手册介绍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手册分类</w:t>
      </w:r>
      <w:r>
        <w:rPr>
          <w:rFonts w:eastAsia="等线" w:ascii="Arial" w:cs="Arial" w:hAnsi="Arial"/>
          <w:sz w:val="22"/>
        </w:rPr>
        <w:t>：服务手册共两本，一本给家长，用于售前向家长介绍产品、解答疑问；一本给规划师，用于售后服务时把握服务关键点，是效率手册。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视频目的</w:t>
      </w:r>
      <w:r>
        <w:rPr>
          <w:rFonts w:eastAsia="等线" w:ascii="Arial" w:cs="Arial" w:hAnsi="Arial"/>
          <w:sz w:val="22"/>
        </w:rPr>
        <w:t>：拍摄视频是为帮助大家了解服务手册的具体使用方法。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产品项目与价格设定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133"/>
        <w:gridCol w:w="3146"/>
      </w:tblGrid>
      <w:tr>
        <w:tc>
          <w:tcPr>
            <w:tcW w:w="513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体验产品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专注力与智商测试：建议完全免费推广，可将二维码做成小海报，通过线上发布或线下引流，能起到良好效果。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家长三十六计课堂：进校可与学校合作做公益讲座；线下可收 9.9 元，邀请附近小区或学校周边家长到会议室分享，最多可容纳上千人，能打动不同层次家长，是很好的引流工具。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学习力测评：一线城市建议收费 500 - 700 元，也有规划师收到 2000 元；四五线城市建议收 300 - 400 元。测评可自动完成并生成报告。</w:t>
            </w:r>
          </w:p>
        </w:tc>
        <w:tc>
          <w:tcPr>
            <w:tcW w:w="314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38325" cy="10763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体验产品与诊断服务定价策略</w:t>
              <w:br/>
            </w:r>
          </w:p>
        </w:tc>
      </w:tr>
    </w:tbl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诊断服务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收费方式：有两种收费方式。一是前期为锻炼能力可采用义诊方式免费或低价解读；二是建立良好口碑后可设置较高价格，如 2980 元，价格可根据当地市场承受能力和服务家庭数量动态调节，是筛选客户的有效工具。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服务核心：无论收费高低，都要提供优质服务，口碑是长期发展的关键。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长期服务模式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885"/>
        <w:gridCol w:w="3394"/>
      </w:tblGrid>
      <w:tr>
        <w:tc>
          <w:tcPr>
            <w:tcW w:w="4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服务性质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一对一咨询：长期服务为一对一咨询服务，因为学业规划需因材施教，每个孩子学习卡点不同，无法用精准课时推销，需根据孩子问题量身定制解决方案。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收费套餐：建议设置三个月、六个月和一年的套餐。初期可设三个月或六个月建立信任，口碑起来后以一年或三年为计。如深圳和江门有规划师因口碑好收三年服务费用。</w:t>
            </w:r>
          </w:p>
        </w:tc>
        <w:tc>
          <w:tcPr>
            <w:tcW w:w="339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00250" cy="9239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长期服务类型对比</w:t>
              <w:br/>
            </w:r>
          </w:p>
        </w:tc>
      </w:tr>
    </w:tbl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服务区别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学习靶向提升：主要针对孩子学习问题进行提升。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高端 1V1 终身成长：包含家庭全程规划，如构建亲子关系、多元化升学路径、终身职业发展规划等，价值感包装更强。应根据客户人群定制主推方案。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学习靶向提升完整流程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全面检测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时间安排：第一周完成，选孩子相对清醒时间，如周末早上醒来一小时左右。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具体步骤：包括与家庭正式沟通建档、沟通检测项目、完成检测（不同学龄段孩子检测时间不同，中学生 90 - 200 分钟，小学生 60 分钟内）、检查报告质量（若不达标需重测或加测）、输出报告（中学生报告一般 120 多页）。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不同年龄段检测项目：1 - 3 年级孩子能测项目有限，需父母代为观察部分内容，核心测父母家庭管教方式；4 - 6 年级孩子学习力和性格特质可个人测，但学习 2.0 未测；初高中孩子特质、学习力及父母学习力（原胜任力）可全面测评。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沟通与检测策略：提供 1V1 沟通话术，强调真诚亲和，可撇开父母单独与孩子沟通；一次难以完成检测可分多次进行；检测后从整体答题时间、检测结果、能力项情况、回答与事实出入、DISC 报告生成情况判断报告是否合格，不合格需重新疏导和检测。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1811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color w:val="8F959E"/>
          <w:sz w:val="22"/>
        </w:rPr>
        <w:t>全面检测实施流程</w:t>
        <w:br/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诊断靶点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时间跨度：一到两周完成，规划师需根据家长和学生期望目标，按脑心术分析，此环节耗时长、费脑力，但多数规划师已熟练掌握。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报告要求：从脑心术各环节列出孩子优劣，与家长沟通，沟通核心是找到孩子问题根源，专业度和沟通能力决定家长是否交付孩子服务。沟通时记录孩子成长指数和状态指数，制定初步提升策略。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学习力框架：诊断离不开学习力框架，框架分为直接因素和间接因素。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00:01</w:t>
        </w:r>
      </w:hyperlink>
      <w:r>
        <w:rPr>
          <w:rFonts w:eastAsia="等线" w:ascii="Arial" w:cs="Arial" w:hAnsi="Arial"/>
          <w:b w:val="true"/>
          <w:sz w:val="22"/>
        </w:rPr>
        <w:t xml:space="preserve">  杨洋老师介绍服务手册及视频拍摄目的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由杨洋老师介绍全新的服务手册。该手册有两本，一本给家长，用于售前向家长推广产品、解答疑问；一本供规划师自用，售后服务时可作效率手册，帮助把握服务关键点。本次视频拍摄旨在让大家了解这本服务手册的具体使用方法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01:05</w:t>
        </w:r>
      </w:hyperlink>
      <w:r>
        <w:rPr>
          <w:rFonts w:eastAsia="等线" w:ascii="Arial" w:cs="Arial" w:hAnsi="Arial"/>
          <w:b w:val="true"/>
          <w:sz w:val="22"/>
        </w:rPr>
        <w:t xml:space="preserve">  服务产品项目及不同价格设定建议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做服务时产品项目和价格的设定。产品价格和项目分三大块：体验产品中的专注力、智商测试建议免费推广，可线上线下引流；家长三十六计课堂进校可做公益讲座，线下收9.9元邀请家长分享，是很好的引流工具；道道的学习力测评，一线城市建议500 - 700元，四五线城市300 - 400元，能自动完成并出报告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03:15</w:t>
        </w:r>
      </w:hyperlink>
      <w:r>
        <w:rPr>
          <w:rFonts w:eastAsia="等线" w:ascii="Arial" w:cs="Arial" w:hAnsi="Arial"/>
          <w:b w:val="true"/>
          <w:sz w:val="22"/>
        </w:rPr>
        <w:t xml:space="preserve">  诊断服务收费方式及价格筛选器运用建议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生品服务中的诊断服务，即专业规划师为家长解读上百页报告。解读收费有两种方式，前期能力不足或想获更多机会可低价甚至免费；有市场口碑信誉后可设高价，如2980元，可根据当地市场和服务家庭数量动态调节，它是筛选器，但无论高低都要提供优质服务，口碑最重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05:38</w:t>
        </w:r>
      </w:hyperlink>
      <w:r>
        <w:rPr>
          <w:rFonts w:eastAsia="等线" w:ascii="Arial" w:cs="Arial" w:hAnsi="Arial"/>
          <w:b w:val="true"/>
          <w:sz w:val="22"/>
        </w:rPr>
        <w:t xml:space="preserve">  学业一对一长期服务内容、收费与方案定制建议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重点介绍长期一对一服务，强调学业规划因因材施教只能一对一，是定制咨询服务。收费建议设三个月、六个月和一年套餐，根据口碑动态调整。服务第一个月最辛苦，长期订单成本更低。还介绍了学习靶向提升和高端 1V1 的区别，方案需根据客户人群量身定制。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09:32</w:t>
        </w:r>
      </w:hyperlink>
      <w:r>
        <w:rPr>
          <w:rFonts w:eastAsia="等线" w:ascii="Arial" w:cs="Arial" w:hAnsi="Arial"/>
          <w:b w:val="true"/>
          <w:sz w:val="22"/>
        </w:rPr>
        <w:t xml:space="preserve">  学习靶向提升完整服务流程及要点介绍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学习靶向提升的完整服务流程。第一周完成全面检测、沟通建档，隔一周做初诊、问诊和诊断，第四周定制攻略，包含四级唤醒。督学分第一周和正反馈周，第一周需每日督导，后续顺利则一周一次。若流程顺利，第三个月起状态良好，孩子自主学习，规划师和家长也更轻松，还提供工具手册辅助服务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15:34</w:t>
        </w:r>
      </w:hyperlink>
      <w:r>
        <w:rPr>
          <w:rFonts w:eastAsia="等线" w:ascii="Arial" w:cs="Arial" w:hAnsi="Arial"/>
          <w:b w:val="true"/>
          <w:sz w:val="22"/>
        </w:rPr>
        <w:t xml:space="preserve">  各年龄段孩子检测项目及检测报告审核要点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全面检测的步骤，包括家庭沟通建档、沟通检测项目、完成检测、评估报告质量及输出报告，需在一周内完成。还按1 - 3年级、4 - 6年级、初高中三个阶段列举检测项目，回顾1V1沟通话术，提供应对不配合孩子的策略，最后说明判断报告是否合格的四项标准及重测情况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22:33</w:t>
        </w:r>
      </w:hyperlink>
      <w:r>
        <w:rPr>
          <w:rFonts w:eastAsia="等线" w:ascii="Arial" w:cs="Arial" w:hAnsi="Arial"/>
          <w:b w:val="true"/>
          <w:sz w:val="22"/>
        </w:rPr>
        <w:t xml:space="preserve">  学习诊断靶点步骤、报告及沟通策略要点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第二步诊断靶点或学习卡点，需一到两周完成，分五步。规划师要依家长和学生目标及脑心术做分析，撰写诊断报告，耗时3 - 5天，熟练者一小时内可完成。与家长沟通诊断结果很关键，目的是找孩子问题根源和促成服务。要记录孩子指数，制定初步策略，且诊断离不开学习力框架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：根据不同情况制定服务项目价格和选择服务类型。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：如何为不同的服务项目定价以及如何选择主推的服务类型。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杨洋老师提出体验产品中的专注力和智商测试建议免费推广；家长三十六计课堂进校合作做公益讲座，线下可收 9.9 元；学习力测评在一线城市建议 500 - 700 元，四五线城市建议 300 - 400 元；诊断服务收费可根据自身情况选择低价甚至免费或设置相对高价如 2980 元。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对于长期服务，建议提供三个月、六个月和一年的套餐，根据当地口碑沉淀情况选择；若客户多为高端人群，主推高端 1V1 终身成长服务；若多为普通家庭，主推一对一学习靶向提升服务。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：不同服务项目的成本、目标客户的支付能力以及市场需求，同时考虑口碑沉淀对长期服务订单成本的影响。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学习靶向提升服务流程按全面检测、诊断靶点、定制攻略、督学等步骤进行，各步骤有相应时间和任务要求。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针对不同年龄段孩子（1 - 3 年级、4 - 6 年级、初高中）设置不同的检测项目。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与孩子沟通时采用真诚亲和的话术，若孩子不配合可单独沟通，检测可分多次完成，检测后根据四项标准判断报告是否合格，不合格需重测。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诊断环节需根据家长和学生期望目标做分析，完成诊断报告并与家长沟通，记录孩子成长指数和状态指数，制定初步提升策略。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因材施教一定是一对一的，这个世界上没有完全相同的两片树叶，也就不会存在有完全相同的两个孩子，同样的成绩很好或者说很差，两个不同的孩子他的学习的卡点一定是不一样的，所以学业规划只存在一对一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突出了学业规划一对一服务的必要性，强调因材施教的重要性，是会议核心观点的体现。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「价格是一个很好的筛选器，大家可以用好这个筛选器去动态调节自己的服务，但要量力而行。」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提出价格筛选器的概念，为规划师提供了调节服务的有效方法，具有独特的洞察和实用价值。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「一旦孩子进入非常好的学习状态，他会掌握学习能力，有很强的自驱力，开始自主学习并享受学习乐趣，规划师会轻松，家长也会满意并产生信任感。」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描述了理想的学习状态和服务效果，让读者对服务目标有清晰的认识，能引发共鸣。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6">
        <w:r>
          <w:rPr>
            <w:rFonts w:eastAsia="等线" w:ascii="Arial" w:cs="Arial" w:hAnsi="Arial"/>
            <w:color w:val="3370ff"/>
            <w:sz w:val="22"/>
          </w:rPr>
          <w:t>规划师课程 - 加餐课1</w:t>
        </w:r>
      </w:hyperlink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规划师课程 - 加餐课1 2026年1月22日</w:t>
        </w:r>
      </w:hyperlink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9832">
    <w:lvl>
      <w:numFmt w:val="bullet"/>
      <w:suff w:val="tab"/>
      <w:lvlText w:val="•"/>
      <w:rPr>
        <w:color w:val="3370ff"/>
      </w:rPr>
    </w:lvl>
  </w:abstractNum>
  <w:abstractNum w:abstractNumId="79833">
    <w:lvl>
      <w:numFmt w:val="bullet"/>
      <w:suff w:val="tab"/>
      <w:lvlText w:val="￮"/>
      <w:rPr>
        <w:color w:val="3370ff"/>
      </w:rPr>
    </w:lvl>
  </w:abstractNum>
  <w:abstractNum w:abstractNumId="79834">
    <w:lvl>
      <w:numFmt w:val="bullet"/>
      <w:suff w:val="tab"/>
      <w:lvlText w:val="￮"/>
      <w:rPr>
        <w:color w:val="3370ff"/>
      </w:rPr>
    </w:lvl>
  </w:abstractNum>
  <w:abstractNum w:abstractNumId="79835">
    <w:lvl>
      <w:numFmt w:val="bullet"/>
      <w:suff w:val="tab"/>
      <w:lvlText w:val="•"/>
      <w:rPr>
        <w:color w:val="3370ff"/>
      </w:rPr>
    </w:lvl>
  </w:abstractNum>
  <w:abstractNum w:abstractNumId="79836">
    <w:lvl>
      <w:numFmt w:val="bullet"/>
      <w:suff w:val="tab"/>
      <w:lvlText w:val="•"/>
      <w:rPr>
        <w:color w:val="3370ff"/>
      </w:rPr>
    </w:lvl>
  </w:abstractNum>
  <w:abstractNum w:abstractNumId="79837">
    <w:lvl>
      <w:numFmt w:val="bullet"/>
      <w:suff w:val="tab"/>
      <w:lvlText w:val="￮"/>
      <w:rPr>
        <w:color w:val="3370ff"/>
      </w:rPr>
    </w:lvl>
  </w:abstractNum>
  <w:abstractNum w:abstractNumId="79838">
    <w:lvl>
      <w:numFmt w:val="bullet"/>
      <w:suff w:val="tab"/>
      <w:lvlText w:val="￮"/>
      <w:rPr>
        <w:color w:val="3370ff"/>
      </w:rPr>
    </w:lvl>
  </w:abstractNum>
  <w:abstractNum w:abstractNumId="79839">
    <w:lvl>
      <w:numFmt w:val="bullet"/>
      <w:suff w:val="tab"/>
      <w:lvlText w:val="￮"/>
      <w:rPr>
        <w:color w:val="3370ff"/>
      </w:rPr>
    </w:lvl>
  </w:abstractNum>
  <w:abstractNum w:abstractNumId="79840">
    <w:lvl>
      <w:numFmt w:val="bullet"/>
      <w:suff w:val="tab"/>
      <w:lvlText w:val="￮"/>
      <w:rPr>
        <w:color w:val="3370ff"/>
      </w:rPr>
    </w:lvl>
  </w:abstractNum>
  <w:abstractNum w:abstractNumId="79841">
    <w:lvl>
      <w:numFmt w:val="bullet"/>
      <w:suff w:val="tab"/>
      <w:lvlText w:val="▪"/>
      <w:rPr>
        <w:color w:val="3370ff"/>
        <w:sz w:val="11"/>
      </w:rPr>
    </w:lvl>
  </w:abstractNum>
  <w:abstractNum w:abstractNumId="79842">
    <w:lvl>
      <w:numFmt w:val="bullet"/>
      <w:suff w:val="tab"/>
      <w:lvlText w:val="▪"/>
      <w:rPr>
        <w:color w:val="3370ff"/>
        <w:sz w:val="11"/>
      </w:rPr>
    </w:lvl>
  </w:abstractNum>
  <w:abstractNum w:abstractNumId="79843">
    <w:lvl>
      <w:numFmt w:val="bullet"/>
      <w:suff w:val="tab"/>
      <w:lvlText w:val="•"/>
      <w:rPr>
        <w:color w:val="3370ff"/>
      </w:rPr>
    </w:lvl>
  </w:abstractNum>
  <w:abstractNum w:abstractNumId="79844">
    <w:lvl>
      <w:numFmt w:val="bullet"/>
      <w:suff w:val="tab"/>
      <w:lvlText w:val="•"/>
      <w:rPr>
        <w:color w:val="3370ff"/>
      </w:rPr>
    </w:lvl>
  </w:abstractNum>
  <w:abstractNum w:abstractNumId="79845">
    <w:lvl>
      <w:numFmt w:val="bullet"/>
      <w:suff w:val="tab"/>
      <w:lvlText w:val="￮"/>
      <w:rPr>
        <w:color w:val="3370ff"/>
      </w:rPr>
    </w:lvl>
  </w:abstractNum>
  <w:abstractNum w:abstractNumId="79846">
    <w:lvl>
      <w:numFmt w:val="bullet"/>
      <w:suff w:val="tab"/>
      <w:lvlText w:val="￮"/>
      <w:rPr>
        <w:color w:val="3370ff"/>
      </w:rPr>
    </w:lvl>
  </w:abstractNum>
  <w:abstractNum w:abstractNumId="79847">
    <w:lvl>
      <w:numFmt w:val="bullet"/>
      <w:suff w:val="tab"/>
      <w:lvlText w:val="￮"/>
      <w:rPr>
        <w:color w:val="3370ff"/>
      </w:rPr>
    </w:lvl>
  </w:abstractNum>
  <w:abstractNum w:abstractNumId="79848">
    <w:lvl>
      <w:numFmt w:val="bullet"/>
      <w:suff w:val="tab"/>
      <w:lvlText w:val="▪"/>
      <w:rPr>
        <w:color w:val="3370ff"/>
        <w:sz w:val="11"/>
      </w:rPr>
    </w:lvl>
  </w:abstractNum>
  <w:abstractNum w:abstractNumId="79849">
    <w:lvl>
      <w:numFmt w:val="bullet"/>
      <w:suff w:val="tab"/>
      <w:lvlText w:val="▪"/>
      <w:rPr>
        <w:color w:val="3370ff"/>
        <w:sz w:val="11"/>
      </w:rPr>
    </w:lvl>
  </w:abstractNum>
  <w:abstractNum w:abstractNumId="79850">
    <w:lvl>
      <w:numFmt w:val="bullet"/>
      <w:suff w:val="tab"/>
      <w:lvlText w:val="•"/>
      <w:rPr>
        <w:color w:val="3370ff"/>
      </w:rPr>
    </w:lvl>
  </w:abstractNum>
  <w:abstractNum w:abstractNumId="79851">
    <w:lvl>
      <w:numFmt w:val="bullet"/>
      <w:suff w:val="tab"/>
      <w:lvlText w:val="￮"/>
      <w:rPr>
        <w:color w:val="3370ff"/>
      </w:rPr>
    </w:lvl>
  </w:abstractNum>
  <w:abstractNum w:abstractNumId="79852">
    <w:lvl>
      <w:numFmt w:val="bullet"/>
      <w:suff w:val="tab"/>
      <w:lvlText w:val="▪"/>
      <w:rPr>
        <w:color w:val="3370ff"/>
        <w:sz w:val="11"/>
      </w:rPr>
    </w:lvl>
  </w:abstractNum>
  <w:abstractNum w:abstractNumId="79853">
    <w:lvl>
      <w:numFmt w:val="bullet"/>
      <w:suff w:val="tab"/>
      <w:lvlText w:val="▪"/>
      <w:rPr>
        <w:color w:val="3370ff"/>
        <w:sz w:val="11"/>
      </w:rPr>
    </w:lvl>
  </w:abstractNum>
  <w:abstractNum w:abstractNumId="79854">
    <w:lvl>
      <w:numFmt w:val="bullet"/>
      <w:suff w:val="tab"/>
      <w:lvlText w:val="▪"/>
      <w:rPr>
        <w:color w:val="3370ff"/>
        <w:sz w:val="11"/>
      </w:rPr>
    </w:lvl>
  </w:abstractNum>
  <w:abstractNum w:abstractNumId="79855">
    <w:lvl>
      <w:numFmt w:val="bullet"/>
      <w:suff w:val="tab"/>
      <w:lvlText w:val="▪"/>
      <w:rPr>
        <w:color w:val="3370ff"/>
        <w:sz w:val="11"/>
      </w:rPr>
    </w:lvl>
  </w:abstractNum>
  <w:abstractNum w:abstractNumId="79856">
    <w:lvl>
      <w:numFmt w:val="bullet"/>
      <w:suff w:val="tab"/>
      <w:lvlText w:val="￮"/>
      <w:rPr>
        <w:color w:val="3370ff"/>
      </w:rPr>
    </w:lvl>
  </w:abstractNum>
  <w:abstractNum w:abstractNumId="79857">
    <w:lvl>
      <w:numFmt w:val="bullet"/>
      <w:suff w:val="tab"/>
      <w:lvlText w:val="▪"/>
      <w:rPr>
        <w:color w:val="3370ff"/>
        <w:sz w:val="11"/>
      </w:rPr>
    </w:lvl>
  </w:abstractNum>
  <w:abstractNum w:abstractNumId="79858">
    <w:lvl>
      <w:numFmt w:val="bullet"/>
      <w:suff w:val="tab"/>
      <w:lvlText w:val="▪"/>
      <w:rPr>
        <w:color w:val="3370ff"/>
        <w:sz w:val="11"/>
      </w:rPr>
    </w:lvl>
  </w:abstractNum>
  <w:abstractNum w:abstractNumId="79859">
    <w:lvl>
      <w:numFmt w:val="bullet"/>
      <w:suff w:val="tab"/>
      <w:lvlText w:val="▪"/>
      <w:rPr>
        <w:color w:val="3370ff"/>
        <w:sz w:val="11"/>
      </w:rPr>
    </w:lvl>
  </w:abstractNum>
  <w:abstractNum w:abstractNumId="79860">
    <w:lvl>
      <w:numFmt w:val="bullet"/>
      <w:suff w:val="tab"/>
      <w:lvlText w:val="•"/>
      <w:rPr>
        <w:color w:val="3370ff"/>
      </w:rPr>
    </w:lvl>
  </w:abstractNum>
  <w:abstractNum w:abstractNumId="79861">
    <w:lvl>
      <w:numFmt w:val="bullet"/>
      <w:suff w:val="tab"/>
      <w:lvlText w:val="￮"/>
      <w:rPr>
        <w:color w:val="3370ff"/>
      </w:rPr>
    </w:lvl>
  </w:abstractNum>
  <w:abstractNum w:abstractNumId="79862">
    <w:lvl>
      <w:numFmt w:val="bullet"/>
      <w:suff w:val="tab"/>
      <w:lvlText w:val="￮"/>
      <w:rPr>
        <w:color w:val="3370ff"/>
      </w:rPr>
    </w:lvl>
  </w:abstractNum>
  <w:abstractNum w:abstractNumId="79863">
    <w:lvl>
      <w:numFmt w:val="bullet"/>
      <w:suff w:val="tab"/>
      <w:lvlText w:val="▪"/>
      <w:rPr>
        <w:color w:val="3370ff"/>
        <w:sz w:val="11"/>
      </w:rPr>
    </w:lvl>
  </w:abstractNum>
  <w:abstractNum w:abstractNumId="79864">
    <w:lvl>
      <w:numFmt w:val="bullet"/>
      <w:suff w:val="tab"/>
      <w:lvlText w:val="▪"/>
      <w:rPr>
        <w:color w:val="3370ff"/>
        <w:sz w:val="11"/>
      </w:rPr>
    </w:lvl>
  </w:abstractNum>
  <w:abstractNum w:abstractNumId="79865">
    <w:lvl>
      <w:numFmt w:val="bullet"/>
      <w:suff w:val="tab"/>
      <w:lvlText w:val="￮"/>
      <w:rPr>
        <w:color w:val="3370ff"/>
      </w:rPr>
    </w:lvl>
  </w:abstractNum>
  <w:abstractNum w:abstractNumId="79866">
    <w:lvl>
      <w:numFmt w:val="bullet"/>
      <w:suff w:val="tab"/>
      <w:lvlText w:val="•"/>
      <w:rPr>
        <w:color w:val="3370ff"/>
      </w:rPr>
    </w:lvl>
  </w:abstractNum>
  <w:abstractNum w:abstractNumId="79867">
    <w:lvl>
      <w:start w:val="1"/>
      <w:numFmt w:val="lowerLetter"/>
      <w:suff w:val="tab"/>
      <w:lvlText w:val="%1."/>
      <w:rPr>
        <w:color w:val="3370ff"/>
      </w:rPr>
    </w:lvl>
  </w:abstractNum>
  <w:abstractNum w:abstractNumId="79868">
    <w:lvl>
      <w:start w:val="2"/>
      <w:numFmt w:val="lowerLetter"/>
      <w:suff w:val="tab"/>
      <w:lvlText w:val="%1."/>
      <w:rPr>
        <w:color w:val="3370ff"/>
      </w:rPr>
    </w:lvl>
  </w:abstractNum>
  <w:abstractNum w:abstractNumId="79869">
    <w:lvl>
      <w:start w:val="3"/>
      <w:numFmt w:val="lowerLetter"/>
      <w:suff w:val="tab"/>
      <w:lvlText w:val="%1."/>
      <w:rPr>
        <w:color w:val="3370ff"/>
      </w:rPr>
    </w:lvl>
  </w:abstractNum>
  <w:abstractNum w:abstractNumId="79870">
    <w:lvl>
      <w:start w:val="4"/>
      <w:numFmt w:val="lowerLetter"/>
      <w:suff w:val="tab"/>
      <w:lvlText w:val="%1."/>
      <w:rPr>
        <w:color w:val="3370ff"/>
      </w:rPr>
    </w:lvl>
  </w:abstractNum>
  <w:abstractNum w:abstractNumId="79871">
    <w:lvl>
      <w:numFmt w:val="bullet"/>
      <w:suff w:val="tab"/>
      <w:lvlText w:val="•"/>
      <w:rPr>
        <w:color w:val="3370ff"/>
      </w:rPr>
    </w:lvl>
  </w:abstractNum>
  <w:abstractNum w:abstractNumId="79872">
    <w:lvl>
      <w:numFmt w:val="bullet"/>
      <w:suff w:val="tab"/>
      <w:lvlText w:val="•"/>
      <w:rPr>
        <w:color w:val="3370ff"/>
      </w:rPr>
    </w:lvl>
  </w:abstractNum>
  <w:abstractNum w:abstractNumId="79873">
    <w:lvl>
      <w:numFmt w:val="bullet"/>
      <w:suff w:val="tab"/>
      <w:lvlText w:val="￮"/>
      <w:rPr>
        <w:color w:val="3370ff"/>
      </w:rPr>
    </w:lvl>
  </w:abstractNum>
  <w:num w:numId="1">
    <w:abstractNumId w:val="79832"/>
  </w:num>
  <w:num w:numId="2">
    <w:abstractNumId w:val="79833"/>
  </w:num>
  <w:num w:numId="3">
    <w:abstractNumId w:val="79834"/>
  </w:num>
  <w:num w:numId="4">
    <w:abstractNumId w:val="79835"/>
  </w:num>
  <w:num w:numId="5">
    <w:abstractNumId w:val="79836"/>
  </w:num>
  <w:num w:numId="6">
    <w:abstractNumId w:val="79837"/>
  </w:num>
  <w:num w:numId="7">
    <w:abstractNumId w:val="79838"/>
  </w:num>
  <w:num w:numId="8">
    <w:abstractNumId w:val="79839"/>
  </w:num>
  <w:num w:numId="9">
    <w:abstractNumId w:val="79840"/>
  </w:num>
  <w:num w:numId="10">
    <w:abstractNumId w:val="79841"/>
  </w:num>
  <w:num w:numId="11">
    <w:abstractNumId w:val="79842"/>
  </w:num>
  <w:num w:numId="12">
    <w:abstractNumId w:val="79843"/>
  </w:num>
  <w:num w:numId="13">
    <w:abstractNumId w:val="79844"/>
  </w:num>
  <w:num w:numId="14">
    <w:abstractNumId w:val="79845"/>
  </w:num>
  <w:num w:numId="15">
    <w:abstractNumId w:val="79846"/>
  </w:num>
  <w:num w:numId="16">
    <w:abstractNumId w:val="79847"/>
  </w:num>
  <w:num w:numId="17">
    <w:abstractNumId w:val="79848"/>
  </w:num>
  <w:num w:numId="18">
    <w:abstractNumId w:val="79849"/>
  </w:num>
  <w:num w:numId="19">
    <w:abstractNumId w:val="79850"/>
  </w:num>
  <w:num w:numId="20">
    <w:abstractNumId w:val="79851"/>
  </w:num>
  <w:num w:numId="21">
    <w:abstractNumId w:val="79852"/>
  </w:num>
  <w:num w:numId="22">
    <w:abstractNumId w:val="79853"/>
  </w:num>
  <w:num w:numId="23">
    <w:abstractNumId w:val="79854"/>
  </w:num>
  <w:num w:numId="24">
    <w:abstractNumId w:val="79855"/>
  </w:num>
  <w:num w:numId="25">
    <w:abstractNumId w:val="79856"/>
  </w:num>
  <w:num w:numId="26">
    <w:abstractNumId w:val="79857"/>
  </w:num>
  <w:num w:numId="27">
    <w:abstractNumId w:val="79858"/>
  </w:num>
  <w:num w:numId="28">
    <w:abstractNumId w:val="79859"/>
  </w:num>
  <w:num w:numId="29">
    <w:abstractNumId w:val="79860"/>
  </w:num>
  <w:num w:numId="30">
    <w:abstractNumId w:val="79861"/>
  </w:num>
  <w:num w:numId="31">
    <w:abstractNumId w:val="79862"/>
  </w:num>
  <w:num w:numId="32">
    <w:abstractNumId w:val="79863"/>
  </w:num>
  <w:num w:numId="33">
    <w:abstractNumId w:val="79864"/>
  </w:num>
  <w:num w:numId="34">
    <w:abstractNumId w:val="79865"/>
  </w:num>
  <w:num w:numId="35">
    <w:abstractNumId w:val="79866"/>
  </w:num>
  <w:num w:numId="36">
    <w:abstractNumId w:val="79867"/>
  </w:num>
  <w:num w:numId="37">
    <w:abstractNumId w:val="79868"/>
  </w:num>
  <w:num w:numId="38">
    <w:abstractNumId w:val="79869"/>
  </w:num>
  <w:num w:numId="39">
    <w:abstractNumId w:val="79870"/>
  </w:num>
  <w:num w:numId="40">
    <w:abstractNumId w:val="79871"/>
  </w:num>
  <w:num w:numId="41">
    <w:abstractNumId w:val="79872"/>
  </w:num>
  <w:num w:numId="42">
    <w:abstractNumId w:val="798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pb5kjm3dx57174882rg?t=65000" TargetMode="External" Type="http://schemas.openxmlformats.org/officeDocument/2006/relationships/hyperlink"/><Relationship Id="rId11" Target="https://hcnytq72r1ge.feishu.cn/minutes/obcnfpb5kjm3dx57174882rg?t=195000" TargetMode="External" Type="http://schemas.openxmlformats.org/officeDocument/2006/relationships/hyperlink"/><Relationship Id="rId12" Target="https://hcnytq72r1ge.feishu.cn/minutes/obcnfpb5kjm3dx57174882rg?t=338000" TargetMode="External" Type="http://schemas.openxmlformats.org/officeDocument/2006/relationships/hyperlink"/><Relationship Id="rId13" Target="https://hcnytq72r1ge.feishu.cn/minutes/obcnfpb5kjm3dx57174882rg?t=572000" TargetMode="External" Type="http://schemas.openxmlformats.org/officeDocument/2006/relationships/hyperlink"/><Relationship Id="rId14" Target="https://hcnytq72r1ge.feishu.cn/minutes/obcnfpb5kjm3dx57174882rg?t=934000" TargetMode="External" Type="http://schemas.openxmlformats.org/officeDocument/2006/relationships/hyperlink"/><Relationship Id="rId15" Target="https://hcnytq72r1ge.feishu.cn/minutes/obcnfpb5kjm3dx57174882rg?t=1353000" TargetMode="External" Type="http://schemas.openxmlformats.org/officeDocument/2006/relationships/hyperlink"/><Relationship Id="rId16" Target="https://hcnytq72r1ge.feishu.cn/minutes/obcnfpb5kjm3dx57174882rg?from=ai_minutes" TargetMode="External" Type="http://schemas.openxmlformats.org/officeDocument/2006/relationships/hyperlink"/><Relationship Id="rId17" Target="https://hcnytq72r1ge.feishu.cn/docx/OhqDdUMxso7OmOxMzr5cx82inlc" TargetMode="External" Type="http://schemas.openxmlformats.org/officeDocument/2006/relationships/hyperlink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ttps://hcnytq72r1ge.feishu.cn/minutes/obcnfpb5kjm3dx57174882rg?t=1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2026-01-27T06:10:03Z</dcterms:created>
  <dc:creator>Apache POI</dc:creator>
</cp:coreProperties>
</file>