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智能纪要：02-6个维度讲清道道学习力 2026年1月23日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会议主题：02-6个维度讲清道道学习力</w:t>
            </w:r>
          </w:p>
          <w:p>
            <w:pPr>
              <w:spacing w:before="120" w:after="120" w:line="288" w:lineRule="auto"/>
              <w:ind w:left="0"/>
              <w:jc w:val="left"/>
            </w:pPr>
            <w:r>
              <w:rPr>
                <w:rFonts w:eastAsia="等线" w:ascii="Arial" w:cs="Arial" w:hAnsi="Arial"/>
                <w:color w:val="646a73"/>
                <w:sz w:val="22"/>
              </w:rPr>
              <w:t>上传时间：1月23号（周五） 09:39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4724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724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本次会议为课程教学，说话人1围绕“六个维度讲清道学习力”展开，阐述人消费的决策机制，介绍营销六要素及其在道学习力产品销售中的应用，并布置了相关作业，内容如下：</w:t>
      </w:r>
    </w:p>
    <w:p>
      <w:pPr>
        <w:numPr>
          <w:numId w:val="1"/>
        </w:numPr>
        <w:spacing w:before="120" w:after="120" w:line="288" w:lineRule="auto"/>
        <w:ind w:left="0"/>
        <w:jc w:val="left"/>
      </w:pPr>
      <w:r>
        <w:rPr>
          <w:rFonts w:eastAsia="等线" w:ascii="Arial" w:cs="Arial" w:hAnsi="Arial"/>
          <w:b w:val="true"/>
          <w:sz w:val="22"/>
        </w:rPr>
        <w:t>消费决策机制</w:t>
      </w:r>
    </w:p>
    <w:p>
      <w:pPr>
        <w:numPr>
          <w:numId w:val="2"/>
        </w:numPr>
        <w:spacing w:before="120" w:after="120" w:line="288" w:lineRule="auto"/>
        <w:ind w:left="453"/>
        <w:jc w:val="left"/>
      </w:pPr>
      <w:r>
        <w:rPr>
          <w:rFonts w:eastAsia="等线" w:ascii="Arial" w:cs="Arial" w:hAnsi="Arial"/>
          <w:b w:val="true"/>
          <w:sz w:val="22"/>
        </w:rPr>
        <w:t>情绪与理性结合</w:t>
      </w:r>
      <w:r>
        <w:rPr>
          <w:rFonts w:eastAsia="等线" w:ascii="Arial" w:cs="Arial" w:hAnsi="Arial"/>
          <w:sz w:val="22"/>
        </w:rPr>
        <w:t>：说话人1认为人都是在情绪上买单，然后再在理性上自我说服。营销需把握这两点，既要煽动客户情绪促其买单，又要提供理性理由让其后续能自我说服购买决策正确。</w:t>
      </w:r>
    </w:p>
    <w:p>
      <w:pPr>
        <w:numPr>
          <w:numId w:val="3"/>
        </w:numPr>
        <w:spacing w:before="120" w:after="120" w:line="288" w:lineRule="auto"/>
        <w:ind w:left="453"/>
        <w:jc w:val="left"/>
      </w:pPr>
      <w:r>
        <w:rPr>
          <w:rFonts w:eastAsia="等线" w:ascii="Arial" w:cs="Arial" w:hAnsi="Arial"/>
          <w:b w:val="true"/>
          <w:sz w:val="22"/>
        </w:rPr>
        <w:t>会销问题反思</w:t>
      </w:r>
      <w:r>
        <w:rPr>
          <w:rFonts w:eastAsia="等线" w:ascii="Arial" w:cs="Arial" w:hAnsi="Arial"/>
          <w:sz w:val="22"/>
        </w:rPr>
        <w:t>：指出很多大型会销只注重煽动情绪，不注重提供理性条件，会导致后续服务问题，甚至退费，强调销售不能只考虑买单瞬间。</w:t>
      </w:r>
    </w:p>
    <w:p>
      <w:pPr>
        <w:numPr>
          <w:numId w:val="4"/>
        </w:numPr>
        <w:spacing w:before="120" w:after="120" w:line="288" w:lineRule="auto"/>
        <w:ind w:left="0"/>
        <w:jc w:val="left"/>
      </w:pPr>
      <w:r>
        <w:rPr>
          <w:rFonts w:eastAsia="等线" w:ascii="Arial" w:cs="Arial" w:hAnsi="Arial"/>
          <w:b w:val="true"/>
          <w:sz w:val="22"/>
        </w:rPr>
        <w:t>营销六要素介绍</w:t>
      </w:r>
    </w:p>
    <w:p>
      <w:pPr>
        <w:numPr>
          <w:numId w:val="5"/>
        </w:numPr>
        <w:spacing w:before="120" w:after="120" w:line="288" w:lineRule="auto"/>
        <w:ind w:left="453"/>
        <w:jc w:val="left"/>
      </w:pPr>
      <w:r>
        <w:rPr>
          <w:rFonts w:eastAsia="等线" w:ascii="Arial" w:cs="Arial" w:hAnsi="Arial"/>
          <w:b w:val="true"/>
          <w:sz w:val="22"/>
        </w:rPr>
        <w:t>六要素概述</w:t>
      </w:r>
    </w:p>
    <w:p>
      <w:pPr>
        <w:numPr>
          <w:numId w:val="6"/>
        </w:numPr>
        <w:spacing w:before="120" w:after="120" w:line="288" w:lineRule="auto"/>
        <w:ind w:left="907"/>
        <w:jc w:val="left"/>
      </w:pPr>
      <w:r>
        <w:rPr>
          <w:rFonts w:eastAsia="等线" w:ascii="Arial" w:cs="Arial" w:hAnsi="Arial"/>
          <w:sz w:val="22"/>
        </w:rPr>
        <w:t>经典理论：营销六要素诞生超 70 年，是验证有效的经典营销理论，虽市面上销售课程众多，但万变不离其宗。</w:t>
      </w:r>
    </w:p>
    <w:p>
      <w:pPr>
        <w:numPr>
          <w:numId w:val="7"/>
        </w:numPr>
        <w:spacing w:before="120" w:after="120" w:line="288" w:lineRule="auto"/>
        <w:ind w:left="907"/>
        <w:jc w:val="left"/>
      </w:pPr>
      <w:r>
        <w:rPr>
          <w:rFonts w:eastAsia="等线" w:ascii="Arial" w:cs="Arial" w:hAnsi="Arial"/>
          <w:sz w:val="22"/>
        </w:rPr>
        <w:t>原始人视角解释：推荐学员阅读《超市里的原始人》，以原始人视角说明营销六要素的有效性。如大众认同，原始人需抱团生存，看到人多的地方就会想去，所以即便知道网红店可能是营销，人们仍会受吸引。</w:t>
      </w:r>
    </w:p>
    <w:p>
      <w:pPr>
        <w:numPr>
          <w:numId w:val="8"/>
        </w:numPr>
        <w:spacing w:before="120" w:after="120" w:line="288" w:lineRule="auto"/>
        <w:ind w:left="453"/>
        <w:jc w:val="left"/>
      </w:pPr>
      <w:r>
        <w:rPr>
          <w:rFonts w:eastAsia="等线" w:ascii="Arial" w:cs="Arial" w:hAnsi="Arial"/>
          <w:b w:val="true"/>
          <w:sz w:val="22"/>
        </w:rPr>
        <w:t>要素分类</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802"/>
        <w:gridCol w:w="3477"/>
      </w:tblGrid>
      <w:tr>
        <w:tc>
          <w:tcPr>
            <w:tcW w:w="4802"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非理性要素：权威、大众认同、稀缺、互惠属于营销人的非理性。权威虽不一定对消费者有用，但存在就有吸引力；大众认同如网红店排队现象；稀缺可能是营造出来的感觉；互惠强调优惠要事出有因，让客户感受优惠真实。</w:t>
            </w:r>
          </w:p>
          <w:p>
            <w:pPr>
              <w:numPr>
                <w:numId w:val="10"/>
              </w:numPr>
              <w:spacing w:before="120" w:after="120" w:line="288" w:lineRule="auto"/>
              <w:ind w:left="0"/>
              <w:jc w:val="left"/>
            </w:pPr>
            <w:r>
              <w:rPr>
                <w:rFonts w:eastAsia="等线" w:ascii="Arial" w:cs="Arial" w:hAnsi="Arial"/>
                <w:sz w:val="22"/>
              </w:rPr>
              <w:t>理性要素：喜好、痛点和承诺效果属于营销人的理性。产品若能击中客户痛点，满足其喜好，再通过案例和服务细节承诺效果，能让客户获得安全感，确认购买决策正确。</w:t>
            </w:r>
          </w:p>
        </w:tc>
        <w:tc>
          <w:tcPr>
            <w:tcW w:w="3477" w:type="dxa"/>
            <w:tcMar>
              <w:top w:type="dxa" w:w="60"/>
              <w:left w:type="dxa" w:w="120"/>
              <w:bottom w:type="dxa" w:w="30"/>
              <w:right w:type="dxa" w:w="120"/>
            </w:tcMar>
          </w:tcPr>
          <w:p>
            <w:pPr>
              <w:spacing w:before="120" w:after="120" w:line="288" w:lineRule="auto"/>
              <w:ind w:left="0"/>
              <w:jc w:val="center"/>
            </w:pPr>
            <w:r>
              <w:drawing>
                <wp:inline distT="0" distR="0" distB="0" distL="0">
                  <wp:extent cx="2047875" cy="885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047875" cy="8858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营销六要素分类及特征</w:t>
              <w:br/>
            </w:r>
          </w:p>
        </w:tc>
      </w:tr>
    </w:tbl>
    <w:p>
      <w:pPr>
        <w:numPr>
          <w:numId w:val="11"/>
        </w:numPr>
        <w:spacing w:before="120" w:after="120" w:line="288" w:lineRule="auto"/>
        <w:ind w:left="0"/>
        <w:jc w:val="left"/>
      </w:pPr>
      <w:r>
        <w:rPr>
          <w:rFonts w:eastAsia="等线" w:ascii="Arial" w:cs="Arial" w:hAnsi="Arial"/>
          <w:b w:val="true"/>
          <w:sz w:val="22"/>
        </w:rPr>
        <w:t>道学习力产品的营销六要素展示</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6292"/>
        <w:gridCol w:w="1987"/>
      </w:tblGrid>
      <w:tr>
        <w:tc>
          <w:tcPr>
            <w:tcW w:w="6292"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b w:val="true"/>
                <w:sz w:val="22"/>
              </w:rPr>
              <w:t>权威和大众认同</w:t>
            </w:r>
          </w:p>
          <w:p>
            <w:pPr>
              <w:numPr>
                <w:numId w:val="13"/>
              </w:numPr>
              <w:spacing w:before="120" w:after="120" w:line="288" w:lineRule="auto"/>
              <w:ind w:left="453"/>
              <w:jc w:val="left"/>
            </w:pPr>
            <w:r>
              <w:rPr>
                <w:rFonts w:eastAsia="等线" w:ascii="Arial" w:cs="Arial" w:hAnsi="Arial"/>
                <w:sz w:val="22"/>
              </w:rPr>
              <w:t>学界声誉：道包括杨洋博士本人在国际学术期刊发表十几篇论文，公司有 20 多项发明专利和众多软著。国内唯一由清华大学学习科学实验室出品的学习科学白皮书，使用道导 AI 学习力的理论框架和测评系统，杨洋博士还在多所顶尖高校授课。</w:t>
            </w:r>
          </w:p>
          <w:p>
            <w:pPr>
              <w:numPr>
                <w:numId w:val="14"/>
              </w:numPr>
              <w:spacing w:before="120" w:after="120" w:line="288" w:lineRule="auto"/>
              <w:ind w:left="453"/>
              <w:jc w:val="left"/>
            </w:pPr>
            <w:r>
              <w:rPr>
                <w:rFonts w:eastAsia="等线" w:ascii="Arial" w:cs="Arial" w:hAnsi="Arial"/>
                <w:sz w:val="22"/>
              </w:rPr>
              <w:t>大咖背书：与新东方、百度、360、搜狗、网易有道、夸克等合作，这些合作信息在产品手册中，是介绍产品时的重点内容。</w:t>
            </w:r>
          </w:p>
          <w:p>
            <w:pPr>
              <w:numPr>
                <w:numId w:val="15"/>
              </w:numPr>
              <w:spacing w:before="120" w:after="120" w:line="288" w:lineRule="auto"/>
              <w:ind w:left="453"/>
              <w:jc w:val="left"/>
            </w:pPr>
            <w:r>
              <w:rPr>
                <w:rFonts w:eastAsia="等线" w:ascii="Arial" w:cs="Arial" w:hAnsi="Arial"/>
                <w:sz w:val="22"/>
              </w:rPr>
              <w:t>政府认可：道学习力道研究院是国家发改委旗下全国人才大数据平台唯一联合发起单位，还与各地教育局有合作，公司获得高新技术企业、国家十三五规划重点商务政务大项目等政府颁发的奖牌和认证。</w:t>
            </w:r>
          </w:p>
          <w:p>
            <w:pPr>
              <w:numPr>
                <w:numId w:val="16"/>
              </w:numPr>
              <w:spacing w:before="120" w:after="120" w:line="288" w:lineRule="auto"/>
              <w:ind w:left="453"/>
              <w:jc w:val="left"/>
            </w:pPr>
            <w:r>
              <w:rPr>
                <w:rFonts w:eastAsia="等线" w:ascii="Arial" w:cs="Arial" w:hAnsi="Arial"/>
                <w:sz w:val="22"/>
              </w:rPr>
              <w:t>媒体追捧：有专门关于道和杨洋博士的媒体报道清单，如极客公园等行业顶尖媒体常访问杨洋博士并邀请其做讲座。</w:t>
            </w:r>
          </w:p>
          <w:p>
            <w:pPr>
              <w:numPr>
                <w:numId w:val="17"/>
              </w:numPr>
              <w:spacing w:before="120" w:after="120" w:line="288" w:lineRule="auto"/>
              <w:ind w:left="453"/>
              <w:jc w:val="left"/>
            </w:pPr>
            <w:r>
              <w:rPr>
                <w:rFonts w:eastAsia="等线" w:ascii="Arial" w:cs="Arial" w:hAnsi="Arial"/>
                <w:sz w:val="22"/>
              </w:rPr>
              <w:t>大众好评：通过案例展示体现，案例既能作为大众好评，又能作为效果承诺的一部分，建议学员多收集家长好评和案例。</w:t>
            </w:r>
          </w:p>
        </w:tc>
        <w:tc>
          <w:tcPr>
            <w:tcW w:w="1987" w:type="dxa"/>
            <w:tcMar>
              <w:top w:type="dxa" w:w="60"/>
              <w:left w:type="dxa" w:w="120"/>
              <w:bottom w:type="dxa" w:w="30"/>
              <w:right w:type="dxa" w:w="120"/>
            </w:tcMar>
          </w:tcPr>
          <w:p>
            <w:pPr>
              <w:spacing w:before="120" w:after="120" w:line="288" w:lineRule="auto"/>
              <w:ind w:left="0"/>
              <w:jc w:val="center"/>
            </w:pPr>
            <w:r>
              <w:drawing>
                <wp:inline distT="0" distR="0" distB="0" distL="0">
                  <wp:extent cx="1104900" cy="21145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104900" cy="21145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道学习力产品的权威与大众认同体系</w:t>
              <w:br/>
            </w:r>
          </w:p>
        </w:tc>
      </w:tr>
    </w:tbl>
    <w:p>
      <w:pPr>
        <w:numPr>
          <w:numId w:val="18"/>
        </w:numPr>
        <w:spacing w:before="120" w:after="120" w:line="288" w:lineRule="auto"/>
        <w:ind w:left="453"/>
        <w:jc w:val="left"/>
      </w:pPr>
      <w:r>
        <w:rPr>
          <w:rFonts w:eastAsia="等线" w:ascii="Arial" w:cs="Arial" w:hAnsi="Arial"/>
          <w:b w:val="true"/>
          <w:sz w:val="22"/>
        </w:rPr>
        <w:t>喜好痛点</w:t>
      </w:r>
      <w:r>
        <w:rPr>
          <w:rFonts w:eastAsia="等线" w:ascii="Arial" w:cs="Arial" w:hAnsi="Arial"/>
          <w:sz w:val="22"/>
        </w:rPr>
        <w:t>：道学习力产品是痛点型产品，主要解决孩子提分升学问题，客户痛点明显，只需告知客户痛点可被解决即可。</w:t>
      </w:r>
    </w:p>
    <w:p>
      <w:pPr>
        <w:numPr>
          <w:numId w:val="19"/>
        </w:numPr>
        <w:spacing w:before="120" w:after="120" w:line="288" w:lineRule="auto"/>
        <w:ind w:left="453"/>
        <w:jc w:val="left"/>
      </w:pPr>
      <w:r>
        <w:rPr>
          <w:rFonts w:eastAsia="等线" w:ascii="Arial" w:cs="Arial" w:hAnsi="Arial"/>
          <w:b w:val="true"/>
          <w:sz w:val="22"/>
        </w:rPr>
        <w:t>承诺效果</w:t>
      </w:r>
    </w:p>
    <w:p>
      <w:pPr>
        <w:numPr>
          <w:numId w:val="20"/>
        </w:numPr>
        <w:spacing w:before="120" w:after="120" w:line="288" w:lineRule="auto"/>
        <w:ind w:left="907"/>
        <w:jc w:val="left"/>
      </w:pPr>
      <w:r>
        <w:rPr>
          <w:rFonts w:eastAsia="等线" w:ascii="Arial" w:cs="Arial" w:hAnsi="Arial"/>
          <w:sz w:val="22"/>
        </w:rPr>
        <w:t>案例支撑：通过展示他人使用产品的良好效果案例，让客户相信自己使用也会有好效果。</w:t>
      </w:r>
    </w:p>
    <w:p>
      <w:pPr>
        <w:numPr>
          <w:numId w:val="21"/>
        </w:numPr>
        <w:spacing w:before="120" w:after="120" w:line="288" w:lineRule="auto"/>
        <w:ind w:left="907"/>
        <w:jc w:val="left"/>
      </w:pPr>
      <w:r>
        <w:rPr>
          <w:rFonts w:eastAsia="等线" w:ascii="Arial" w:cs="Arial" w:hAnsi="Arial"/>
          <w:sz w:val="22"/>
        </w:rPr>
        <w:t>服务细节保障：服务细节在学员手册中有详细记录，虽无需向客户详细讲解，但要让客户看到服务细节完善、专业，从而获得安全感。</w:t>
      </w:r>
    </w:p>
    <w:p>
      <w:pPr>
        <w:numPr>
          <w:numId w:val="22"/>
        </w:numPr>
        <w:spacing w:before="120" w:after="120" w:line="288" w:lineRule="auto"/>
        <w:ind w:left="453"/>
        <w:jc w:val="left"/>
      </w:pPr>
      <w:r>
        <w:rPr>
          <w:rFonts w:eastAsia="等线" w:ascii="Arial" w:cs="Arial" w:hAnsi="Arial"/>
          <w:b w:val="true"/>
          <w:sz w:val="22"/>
        </w:rPr>
        <w:t>稀缺加互惠</w:t>
      </w:r>
    </w:p>
    <w:p>
      <w:pPr>
        <w:numPr>
          <w:numId w:val="23"/>
        </w:numPr>
        <w:spacing w:before="120" w:after="120" w:line="288" w:lineRule="auto"/>
        <w:ind w:left="907"/>
        <w:jc w:val="left"/>
      </w:pPr>
      <w:r>
        <w:rPr>
          <w:rFonts w:eastAsia="等线" w:ascii="Arial" w:cs="Arial" w:hAnsi="Arial"/>
          <w:sz w:val="22"/>
        </w:rPr>
        <w:t>互惠原则：强调不是优惠，而是互惠，所有优惠都要事出有因。如限量需说明对双方都有好处的原因，让客户相信稀缺和优惠是真实的。</w:t>
      </w:r>
    </w:p>
    <w:p>
      <w:pPr>
        <w:numPr>
          <w:numId w:val="24"/>
        </w:numPr>
        <w:spacing w:before="120" w:after="120" w:line="288" w:lineRule="auto"/>
        <w:ind w:left="907"/>
        <w:jc w:val="left"/>
      </w:pPr>
      <w:r>
        <w:rPr>
          <w:rFonts w:eastAsia="等线" w:ascii="Arial" w:cs="Arial" w:hAnsi="Arial"/>
          <w:sz w:val="22"/>
        </w:rPr>
        <w:t>示例说明：如以匹配一对一老师资源有限、总部开业补贴等理由，让客户更倾向于相信优惠的真实性。</w:t>
      </w:r>
    </w:p>
    <w:p>
      <w:pPr>
        <w:numPr>
          <w:numId w:val="25"/>
        </w:numPr>
        <w:spacing w:before="120" w:after="120" w:line="288" w:lineRule="auto"/>
        <w:ind w:left="0"/>
        <w:jc w:val="left"/>
      </w:pPr>
      <w:r>
        <w:rPr>
          <w:rFonts w:eastAsia="等线" w:ascii="Arial" w:cs="Arial" w:hAnsi="Arial"/>
          <w:b w:val="true"/>
          <w:sz w:val="22"/>
        </w:rPr>
        <w:t>后续作业安排</w:t>
      </w:r>
    </w:p>
    <w:p>
      <w:pPr>
        <w:numPr>
          <w:numId w:val="26"/>
        </w:numPr>
        <w:spacing w:before="120" w:after="120" w:line="288" w:lineRule="auto"/>
        <w:ind w:left="453"/>
        <w:jc w:val="left"/>
      </w:pPr>
      <w:r>
        <w:rPr>
          <w:rFonts w:eastAsia="等线" w:ascii="Arial" w:cs="Arial" w:hAnsi="Arial"/>
          <w:b w:val="true"/>
          <w:sz w:val="22"/>
        </w:rPr>
        <w:t>自我营销六要素梳理</w:t>
      </w:r>
      <w:r>
        <w:rPr>
          <w:rFonts w:eastAsia="等线" w:ascii="Arial" w:cs="Arial" w:hAnsi="Arial"/>
          <w:sz w:val="22"/>
        </w:rPr>
        <w:t>：要求学员完成基于自我的营销六要素梳理，因为销售时不仅要介绍道学习力产品，还要介绍自身，将两者营销六要素结合。</w:t>
      </w:r>
    </w:p>
    <w:p>
      <w:pPr>
        <w:numPr>
          <w:numId w:val="27"/>
        </w:numPr>
        <w:spacing w:before="120" w:after="120" w:line="288" w:lineRule="auto"/>
        <w:ind w:left="453"/>
        <w:jc w:val="left"/>
      </w:pPr>
      <w:r>
        <w:rPr>
          <w:rFonts w:eastAsia="等线" w:ascii="Arial" w:cs="Arial" w:hAnsi="Arial"/>
          <w:b w:val="true"/>
          <w:sz w:val="22"/>
        </w:rPr>
        <w:t>产品介绍及录音提交</w:t>
      </w:r>
      <w:r>
        <w:rPr>
          <w:rFonts w:eastAsia="等线" w:ascii="Arial" w:cs="Arial" w:hAnsi="Arial"/>
          <w:sz w:val="22"/>
        </w:rPr>
        <w:t>：学员需拿着产品手册，按照营销六要素进行一次完整的产品介绍，并将录音提交。明确介绍时应将更多时间和口舌放在营销六要素相关重点内容上。</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28"/>
        </w:numPr>
        <w:spacing w:before="120" w:after="120" w:line="288" w:lineRule="auto"/>
        <w:ind w:left="0"/>
        <w:jc w:val="left"/>
      </w:pPr>
      <w:r>
        <w:rPr>
          <w:rFonts w:eastAsia="等线" w:ascii="Arial" w:cs="Arial" w:hAnsi="Arial"/>
          <w:sz w:val="22"/>
        </w:rPr>
        <w:t>所有参会人梳理自己的营销六要素，并结合道道的营销六要素，形成推荐自己利用道系统给别人做服务的销售话术</w:t>
      </w:r>
    </w:p>
    <w:p>
      <w:pPr>
        <w:numPr>
          <w:numId w:val="29"/>
        </w:numPr>
        <w:spacing w:before="120" w:after="120" w:line="288" w:lineRule="auto"/>
        <w:ind w:left="0"/>
        <w:jc w:val="left"/>
      </w:pPr>
      <w:r>
        <w:rPr>
          <w:rFonts w:eastAsia="等线" w:ascii="Arial" w:cs="Arial" w:hAnsi="Arial"/>
          <w:sz w:val="22"/>
        </w:rPr>
        <w:t>所有参会人基于自我的营销六要素进行梳理，并完成一次完整的产品介绍</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bookmarkEnd w:id="2"/>
    </w:p>
    <w:p>
      <w:pPr>
        <w:spacing w:before="120" w:after="120" w:line="288" w:lineRule="auto"/>
        <w:ind w:left="0"/>
        <w:jc w:val="left"/>
      </w:pPr>
      <w:hyperlink r:id="rId8">
        <w:r>
          <w:rPr>
            <w:rFonts w:eastAsia="等线" w:ascii="Arial" w:cs="Arial" w:hAnsi="Arial"/>
            <w:color w:val="3370ff"/>
            <w:sz w:val="22"/>
          </w:rPr>
          <w:t>00:01</w:t>
        </w:r>
      </w:hyperlink>
      <w:r>
        <w:rPr>
          <w:rFonts w:eastAsia="等线" w:ascii="Arial" w:cs="Arial" w:hAnsi="Arial"/>
          <w:b w:val="true"/>
          <w:sz w:val="22"/>
        </w:rPr>
        <w:t xml:space="preserve">  销售道学习力产品的营销要点及注意事项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为第二节课，围绕六个维度讲清道学习力展开，先抛出“人们为何而买”的问题，给出“人在情绪上买单，再在理性上自我说服”的答案。强调营销和销售有两大要点，即煽动客户情绪与给足理性理由。还指出只注重煽动情绪会带来后续服务问题，做销售要兼顾理性条件。</w:t>
            </w:r>
          </w:p>
        </w:tc>
      </w:tr>
    </w:tbl>
    <w:p>
      <w:pPr>
        <w:spacing w:before="120" w:after="120" w:line="288" w:lineRule="auto"/>
        <w:ind w:left="0"/>
        <w:jc w:val="left"/>
      </w:pPr>
      <w:hyperlink r:id="rId9">
        <w:r>
          <w:rPr>
            <w:rFonts w:eastAsia="等线" w:ascii="Arial" w:cs="Arial" w:hAnsi="Arial"/>
            <w:color w:val="3370ff"/>
            <w:sz w:val="22"/>
          </w:rPr>
          <w:t>03:28</w:t>
        </w:r>
      </w:hyperlink>
      <w:r>
        <w:rPr>
          <w:rFonts w:eastAsia="等线" w:ascii="Arial" w:cs="Arial" w:hAnsi="Arial"/>
          <w:b w:val="true"/>
          <w:sz w:val="22"/>
        </w:rPr>
        <w:t xml:space="preserve">  营销六要素讲解及梳理作业布置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营销六要素，指出这是诞生超70年、验证有效的经典营销理论。推荐《超市里的原始人》，以原始人视角解释六要素，如大众认同源于原始人抱团生存本能。强调六要素重要性，做服务时要结合道道的和个人的营销六要素，还布置作业，要求梳理并结合成销售话术。</w:t>
            </w:r>
          </w:p>
        </w:tc>
      </w:tr>
    </w:tbl>
    <w:p>
      <w:pPr>
        <w:spacing w:before="120" w:after="120" w:line="288" w:lineRule="auto"/>
        <w:ind w:left="0"/>
        <w:jc w:val="left"/>
      </w:pPr>
      <w:hyperlink r:id="rId10">
        <w:r>
          <w:rPr>
            <w:rFonts w:eastAsia="等线" w:ascii="Arial" w:cs="Arial" w:hAnsi="Arial"/>
            <w:color w:val="3370ff"/>
            <w:sz w:val="22"/>
          </w:rPr>
          <w:t>09:40</w:t>
        </w:r>
      </w:hyperlink>
      <w:r>
        <w:rPr>
          <w:rFonts w:eastAsia="等线" w:ascii="Arial" w:cs="Arial" w:hAnsi="Arial"/>
          <w:b w:val="true"/>
          <w:sz w:val="22"/>
        </w:rPr>
        <w:t xml:space="preserve">  营销六要素：非理性与理性要素解析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营销六要素，指出权威、大众认同、稀缺、互惠属营销人的非理性，喜好、痛点和承诺效果属营销人的理性。解释非理性要素易引发冲动消费，理性要素能给人安全感。强调营销中四个非理性要素、两个理性要素，除互惠外其他要素理解偏差较小，最后探讨非理性与理性在营销中的重要性。</w:t>
            </w:r>
          </w:p>
        </w:tc>
      </w:tr>
    </w:tbl>
    <w:p>
      <w:pPr>
        <w:spacing w:before="120" w:after="120" w:line="288" w:lineRule="auto"/>
        <w:ind w:left="0"/>
        <w:jc w:val="left"/>
      </w:pPr>
      <w:hyperlink r:id="rId11">
        <w:r>
          <w:rPr>
            <w:rFonts w:eastAsia="等线" w:ascii="Arial" w:cs="Arial" w:hAnsi="Arial"/>
            <w:color w:val="3370ff"/>
            <w:sz w:val="22"/>
          </w:rPr>
          <w:t>12:39</w:t>
        </w:r>
      </w:hyperlink>
      <w:r>
        <w:rPr>
          <w:rFonts w:eastAsia="等线" w:ascii="Arial" w:cs="Arial" w:hAnsi="Arial"/>
          <w:b w:val="true"/>
          <w:sz w:val="22"/>
        </w:rPr>
        <w:t xml:space="preserve">  道AI学习力产品权威与大众认可要素解读</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围绕学习力产品打动客户的6个要素展开，将权威和大众认同归为一类并总结为学界声誉、大咖背书、政府认可、媒体追捧、大众好评五点。着重介绍学界盛誉，提及杨洋博士发表多篇国际期刊论文、公司有多项专利，还指出道导AI学习力理论框架和测评系统赋能清华实验室出品学习科学白皮书，杨洋博士还在多所顶尖高校授课。</w:t>
            </w:r>
          </w:p>
        </w:tc>
      </w:tr>
    </w:tbl>
    <w:p>
      <w:pPr>
        <w:spacing w:before="120" w:after="120" w:line="288" w:lineRule="auto"/>
        <w:ind w:left="0"/>
        <w:jc w:val="left"/>
      </w:pPr>
      <w:hyperlink r:id="rId12">
        <w:r>
          <w:rPr>
            <w:rFonts w:eastAsia="等线" w:ascii="Arial" w:cs="Arial" w:hAnsi="Arial"/>
            <w:color w:val="3370ff"/>
            <w:sz w:val="22"/>
          </w:rPr>
          <w:t>16:52</w:t>
        </w:r>
      </w:hyperlink>
      <w:r>
        <w:rPr>
          <w:rFonts w:eastAsia="等线" w:ascii="Arial" w:cs="Arial" w:hAnsi="Arial"/>
          <w:b w:val="true"/>
          <w:sz w:val="22"/>
        </w:rPr>
        <w:t xml:space="preserve">  学术与大咖背书是产品介绍重点内容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两方面认可，一是学术领域高校、政府等给予的认可，二是大众认可的大咖背书，如与新东方、百度等的合作，这些在产品手册上都有体现。说话人强调很多人认为产品手册前几页是“废话”是不懂营销，这些恰恰是介绍产品时应浓墨重彩阐述的重点内容。</w:t>
            </w:r>
          </w:p>
        </w:tc>
      </w:tr>
    </w:tbl>
    <w:p>
      <w:pPr>
        <w:spacing w:before="120" w:after="120" w:line="288" w:lineRule="auto"/>
        <w:ind w:left="0"/>
        <w:jc w:val="left"/>
      </w:pPr>
      <w:hyperlink r:id="rId13">
        <w:r>
          <w:rPr>
            <w:rFonts w:eastAsia="等线" w:ascii="Arial" w:cs="Arial" w:hAnsi="Arial"/>
            <w:color w:val="3370ff"/>
            <w:sz w:val="22"/>
          </w:rPr>
          <w:t>17:55</w:t>
        </w:r>
      </w:hyperlink>
      <w:r>
        <w:rPr>
          <w:rFonts w:eastAsia="等线" w:ascii="Arial" w:cs="Arial" w:hAnsi="Arial"/>
          <w:b w:val="true"/>
          <w:sz w:val="22"/>
        </w:rPr>
        <w:t xml:space="preserve">  产品获政府认可情况及营销六要素梳理提示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产品推广需有政府认可。提到国家级科研平台全国人才大数据平台，道道学习力道研究院是唯一联合发起单位；还包括给各地教育局赋能，相关内容在产品手册中有写。此外，公司有高新技术企业等政府颁发的奖牌、认证。同时提醒大家边听营销六要素梳理，边思考自身该如何梳理。</w:t>
            </w:r>
          </w:p>
        </w:tc>
      </w:tr>
    </w:tbl>
    <w:p>
      <w:pPr>
        <w:spacing w:before="120" w:after="120" w:line="288" w:lineRule="auto"/>
        <w:ind w:left="0"/>
        <w:jc w:val="left"/>
      </w:pPr>
      <w:hyperlink r:id="rId14">
        <w:r>
          <w:rPr>
            <w:rFonts w:eastAsia="等线" w:ascii="Arial" w:cs="Arial" w:hAnsi="Arial"/>
            <w:color w:val="3370ff"/>
            <w:sz w:val="22"/>
          </w:rPr>
          <w:t>19:20</w:t>
        </w:r>
      </w:hyperlink>
      <w:r>
        <w:rPr>
          <w:rFonts w:eastAsia="等线" w:ascii="Arial" w:cs="Arial" w:hAnsi="Arial"/>
          <w:b w:val="true"/>
          <w:sz w:val="22"/>
        </w:rPr>
        <w:t xml:space="preserve">  道与杨洋博士受媒体追捧，资料包含报道链接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权威和大众认可包括媒体方面，已给大家提供关于道和杨洋博士大部分媒体报道的清单，后续会逐步更新。可在营销资料包中查看相关文档，里面贴有所有链接。道受到众多媒体追捧，像互联网行业专业媒体极客公园，常访问杨洋博士，还邀请他给会员和客户做讲座。</w:t>
            </w:r>
          </w:p>
        </w:tc>
      </w:tr>
    </w:tbl>
    <w:p>
      <w:pPr>
        <w:spacing w:before="120" w:after="120" w:line="288" w:lineRule="auto"/>
        <w:ind w:left="0"/>
        <w:jc w:val="left"/>
      </w:pPr>
      <w:hyperlink r:id="rId15">
        <w:r>
          <w:rPr>
            <w:rFonts w:eastAsia="等线" w:ascii="Arial" w:cs="Arial" w:hAnsi="Arial"/>
            <w:color w:val="3370ff"/>
            <w:sz w:val="22"/>
          </w:rPr>
          <w:t>20:22</w:t>
        </w:r>
      </w:hyperlink>
      <w:r>
        <w:rPr>
          <w:rFonts w:eastAsia="等线" w:ascii="Arial" w:cs="Arial" w:hAnsi="Arial"/>
          <w:b w:val="true"/>
          <w:sz w:val="22"/>
        </w:rPr>
        <w:t xml:space="preserve">  产品营销中案例展示及痛点解决要点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案例展示的重要性，建议多展示案例，其有两个作用，一是体现大众好评，通常伴随家长感谢与好评；二是作为效果承诺的一部分，让客户相信产品效果。同时指出收集家长好评和案例是营销六要素关键之一。还提到产品属痛点型，解决孩子提分升学问题，痛点明显，只需告知能解决痛点，承诺效果的关键是案例。</w:t>
            </w:r>
          </w:p>
        </w:tc>
      </w:tr>
    </w:tbl>
    <w:p>
      <w:pPr>
        <w:spacing w:before="120" w:after="120" w:line="288" w:lineRule="auto"/>
        <w:ind w:left="0"/>
        <w:jc w:val="left"/>
      </w:pPr>
      <w:hyperlink r:id="rId16">
        <w:r>
          <w:rPr>
            <w:rFonts w:eastAsia="等线" w:ascii="Arial" w:cs="Arial" w:hAnsi="Arial"/>
            <w:color w:val="3370ff"/>
            <w:sz w:val="22"/>
          </w:rPr>
          <w:t>22:36</w:t>
        </w:r>
      </w:hyperlink>
      <w:r>
        <w:rPr>
          <w:rFonts w:eastAsia="等线" w:ascii="Arial" w:cs="Arial" w:hAnsi="Arial"/>
          <w:b w:val="true"/>
          <w:sz w:val="22"/>
        </w:rPr>
        <w:t xml:space="preserve">  承诺效果关键在于展示服务细节及客户感受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承诺效果的方式，即展示服务细节。服务细节在杨荣博士培训及学员手册中有详细内容，可直接展示给客户。大部分客户不会仔细看，无需花大量时间讲解，只需让其感受到服务细节多、完善、专业即可。强调承诺效果关键在于让客户看到他人有效及服务细节，注重客户感受。</w:t>
            </w:r>
          </w:p>
        </w:tc>
      </w:tr>
    </w:tbl>
    <w:p>
      <w:pPr>
        <w:spacing w:before="120" w:after="120" w:line="288" w:lineRule="auto"/>
        <w:ind w:left="0"/>
        <w:jc w:val="left"/>
      </w:pPr>
      <w:hyperlink r:id="rId17">
        <w:r>
          <w:rPr>
            <w:rFonts w:eastAsia="等线" w:ascii="Arial" w:cs="Arial" w:hAnsi="Arial"/>
            <w:color w:val="3370ff"/>
            <w:sz w:val="22"/>
          </w:rPr>
          <w:t>25:35</w:t>
        </w:r>
      </w:hyperlink>
      <w:r>
        <w:rPr>
          <w:rFonts w:eastAsia="等线" w:ascii="Arial" w:cs="Arial" w:hAnsi="Arial"/>
          <w:b w:val="true"/>
          <w:sz w:val="22"/>
        </w:rPr>
        <w:t xml:space="preserve">  营销中稀缺与互惠要素：优惠需事出有因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强调营销中稀缺与互惠的要点，指出很多人对优惠理解有偏差，应是互惠而非单纯优惠，所有优惠都要事出有因，即让客户和自己都有好处，这样客户才会相信优惠是真的。还举例说明如何给出限量、优惠的合理理由，最后提醒大家记住不是优惠而是互惠，这是营销六要素的内容。</w:t>
            </w:r>
          </w:p>
        </w:tc>
      </w:tr>
    </w:tbl>
    <w:p>
      <w:pPr>
        <w:spacing w:before="120" w:after="120" w:line="288" w:lineRule="auto"/>
        <w:ind w:left="0"/>
        <w:jc w:val="left"/>
      </w:pPr>
      <w:hyperlink r:id="rId18">
        <w:r>
          <w:rPr>
            <w:rFonts w:eastAsia="等线" w:ascii="Arial" w:cs="Arial" w:hAnsi="Arial"/>
            <w:color w:val="3370ff"/>
            <w:sz w:val="22"/>
          </w:rPr>
          <w:t>33:37</w:t>
        </w:r>
      </w:hyperlink>
      <w:r>
        <w:rPr>
          <w:rFonts w:eastAsia="等线" w:ascii="Arial" w:cs="Arial" w:hAnsi="Arial"/>
          <w:b w:val="true"/>
          <w:sz w:val="22"/>
        </w:rPr>
        <w:t xml:space="preserve">  布置两项作业：梳理营销六要素与做产品介绍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布置了两项作业。一是完成基于自我的营销六要素梳理，虽培训的是道道销售六要素，但向一对一客户推荐自己时，要兼顾自身情况；二是完成一次完整的产品介绍，大家可依据提供营销物料时所给的产品手册开展。</w:t>
            </w:r>
          </w:p>
        </w:tc>
      </w:tr>
    </w:tbl>
    <w:p>
      <w:pPr>
        <w:spacing w:before="120" w:after="120" w:line="288" w:lineRule="auto"/>
        <w:ind w:left="0"/>
        <w:jc w:val="left"/>
      </w:pPr>
      <w:hyperlink r:id="rId19">
        <w:r>
          <w:rPr>
            <w:rFonts w:eastAsia="等线" w:ascii="Arial" w:cs="Arial" w:hAnsi="Arial"/>
            <w:color w:val="3370ff"/>
            <w:sz w:val="22"/>
          </w:rPr>
          <w:t>34:11</w:t>
        </w:r>
      </w:hyperlink>
      <w:r>
        <w:rPr>
          <w:rFonts w:eastAsia="等线" w:ascii="Arial" w:cs="Arial" w:hAnsi="Arial"/>
          <w:b w:val="true"/>
          <w:sz w:val="22"/>
        </w:rPr>
        <w:t xml:space="preserve">  按营销六要素用手册介绍产品并提交录音</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布置任务，要求学员拿着产品手册进行一次面向客户的完整产品介绍，并按照营销六要素确定核心介绍内容，思考应将更多时间和口舌放在何处。同时提到曾有客户反馈服务细节介绍粗糙、前面废话多，还要求学员将产品介绍录音提交，最后宣布第二节课结束，期待下节课。</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关键决策</w:t>
      </w:r>
      <w:bookmarkEnd w:id="3"/>
    </w:p>
    <w:p>
      <w:pPr>
        <w:numPr>
          <w:numId w:val="30"/>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：在销售中运用营销六要素进行产品介绍和推广。</w:t>
      </w:r>
    </w:p>
    <w:p>
      <w:pPr>
        <w:numPr>
          <w:numId w:val="31"/>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：如何有效地向客户介绍和推广道学习力产品，提高销售成功率。</w:t>
      </w:r>
    </w:p>
    <w:p>
      <w:pPr>
        <w:numPr>
          <w:numId w:val="32"/>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33"/>
        </w:numPr>
        <w:spacing w:before="120" w:after="120" w:line="288" w:lineRule="auto"/>
        <w:ind w:left="907"/>
        <w:jc w:val="left"/>
      </w:pPr>
      <w:r>
        <w:rPr>
          <w:rFonts w:eastAsia="等线" w:ascii="Arial" w:cs="Arial" w:hAnsi="Arial"/>
          <w:sz w:val="22"/>
        </w:rPr>
        <w:t>说话人1提出人在购买时是先在情绪上买单，再在理性上自我说服，营销需关注情绪和理性两大要点。</w:t>
      </w:r>
    </w:p>
    <w:p>
      <w:pPr>
        <w:numPr>
          <w:numId w:val="34"/>
        </w:numPr>
        <w:spacing w:before="120" w:after="120" w:line="288" w:lineRule="auto"/>
        <w:ind w:left="907"/>
        <w:jc w:val="left"/>
      </w:pPr>
      <w:r>
        <w:rPr>
          <w:rFonts w:eastAsia="等线" w:ascii="Arial" w:cs="Arial" w:hAnsi="Arial"/>
          <w:sz w:val="22"/>
        </w:rPr>
        <w:t>介绍营销六要素（权威、大众认同、稀缺、喜好、痛点、互惠、承诺、效果好），并分析各要素对营销情绪和理性的作用。</w:t>
      </w:r>
    </w:p>
    <w:p>
      <w:pPr>
        <w:numPr>
          <w:numId w:val="35"/>
        </w:numPr>
        <w:spacing w:before="120" w:after="120" w:line="288" w:lineRule="auto"/>
        <w:ind w:left="907"/>
        <w:jc w:val="left"/>
      </w:pPr>
      <w:r>
        <w:rPr>
          <w:rFonts w:eastAsia="等线" w:ascii="Arial" w:cs="Arial" w:hAnsi="Arial"/>
          <w:sz w:val="22"/>
        </w:rPr>
        <w:t>讲解道学习力产品在权威和大众认可方面的具体要素，如学界声誉、大咖背书、政府认可、媒体追捧、大众好评等。</w:t>
      </w:r>
    </w:p>
    <w:p>
      <w:pPr>
        <w:numPr>
          <w:numId w:val="36"/>
        </w:numPr>
        <w:spacing w:before="120" w:after="120" w:line="288" w:lineRule="auto"/>
        <w:ind w:left="907"/>
        <w:jc w:val="left"/>
      </w:pPr>
      <w:r>
        <w:rPr>
          <w:rFonts w:eastAsia="等线" w:ascii="Arial" w:cs="Arial" w:hAnsi="Arial"/>
          <w:sz w:val="22"/>
        </w:rPr>
        <w:t>强调在稀缺和互惠方面要做到优惠事出有因，让客户感受到优惠的真实性。</w:t>
      </w:r>
    </w:p>
    <w:p>
      <w:pPr>
        <w:numPr>
          <w:numId w:val="37"/>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：营销六要素是经过70多年验证有效的经典营销理论，能满足营销中对客户情绪和理性的影响，从而提高销售效果。</w:t>
      </w:r>
    </w:p>
    <w:p>
      <w:pPr>
        <w:pBdr>
          <w:bottom w:val="single" w:color="dee0e3"/>
          <w:between w:val="single" w:color="dee0e3"/>
        </w:pBdr>
        <w:spacing w:before="120" w:after="120" w:line="288" w:lineRule="auto"/>
        <w:ind w:left="0"/>
      </w:pPr>
    </w:p>
    <w:p>
      <w:pPr>
        <w:numPr>
          <w:numId w:val="38"/>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39"/>
        </w:numPr>
        <w:spacing w:before="120" w:after="120" w:line="288" w:lineRule="auto"/>
        <w:ind w:left="453"/>
        <w:jc w:val="left"/>
      </w:pPr>
      <w:r>
        <w:rPr>
          <w:rFonts w:eastAsia="等线" w:ascii="Arial" w:cs="Arial" w:hAnsi="Arial"/>
          <w:sz w:val="22"/>
        </w:rPr>
        <w:t>学员需完成基于自我的营销六要素梳理。</w:t>
      </w:r>
    </w:p>
    <w:p>
      <w:pPr>
        <w:numPr>
          <w:numId w:val="40"/>
        </w:numPr>
        <w:spacing w:before="120" w:after="120" w:line="288" w:lineRule="auto"/>
        <w:ind w:left="453"/>
        <w:jc w:val="left"/>
      </w:pPr>
      <w:r>
        <w:rPr>
          <w:rFonts w:eastAsia="等线" w:ascii="Arial" w:cs="Arial" w:hAnsi="Arial"/>
          <w:sz w:val="22"/>
        </w:rPr>
        <w:t>学员需拿着产品手册进行一次完整的产品介绍，并将录音提交。</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金句时刻</w:t>
      </w:r>
      <w:bookmarkEnd w:id="4"/>
    </w:p>
    <w:p>
      <w:pPr>
        <w:spacing w:before="120" w:after="120" w:line="288" w:lineRule="auto"/>
        <w:ind w:left="0"/>
        <w:jc w:val="left"/>
      </w:pPr>
      <w:r>
        <w:rPr>
          <w:rFonts w:eastAsia="等线" w:ascii="Arial" w:cs="Arial" w:hAnsi="Arial"/>
          <w:sz w:val="22"/>
        </w:rPr>
        <w:t>「人都是在情绪上买单，然后再在理性上自我说服。」</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这句话揭示了消费者购买决策的心理过程，为营销和销售工作提供了重要的理论依据。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「6个营销要素哪怕很多是花钱营造出来的，但依然对消费者有着不可磨灭、不可忽视的强大效果，一定要重视。」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强调了营销六要素在销售中的重要性，提醒销售人员要充分运用这些要素。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「客户感受到你承诺的东西是真的，那就是真的了。」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突出了客户感受在销售中的关键作用，销售人员应注重让客户感受到产品和服务的价值。</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相关链接</w:t>
      </w:r>
      <w:bookmarkEnd w:id="5"/>
    </w:p>
    <w:p>
      <w:pPr>
        <w:numPr>
          <w:numId w:val="41"/>
        </w:numPr>
        <w:spacing w:before="120" w:after="120" w:line="288" w:lineRule="auto"/>
        <w:ind w:left="0"/>
        <w:jc w:val="left"/>
      </w:pPr>
      <w:r>
        <w:rPr>
          <w:rFonts w:eastAsia="等线" w:ascii="Arial" w:cs="Arial" w:hAnsi="Arial"/>
          <w:sz w:val="22"/>
        </w:rPr>
        <w:t>妙记：</w:t>
      </w:r>
      <w:hyperlink r:id="rId20">
        <w:r>
          <w:rPr>
            <w:rFonts w:eastAsia="等线" w:ascii="Arial" w:cs="Arial" w:hAnsi="Arial"/>
            <w:color w:val="3370ff"/>
            <w:sz w:val="22"/>
          </w:rPr>
          <w:t>02-6个维度讲清道道学习力</w:t>
        </w:r>
      </w:hyperlink>
    </w:p>
    <w:p>
      <w:pPr>
        <w:numPr>
          <w:numId w:val="42"/>
        </w:numPr>
        <w:spacing w:before="120" w:after="120" w:line="288" w:lineRule="auto"/>
        <w:ind w:left="0"/>
        <w:jc w:val="left"/>
      </w:pPr>
      <w:r>
        <w:rPr>
          <w:rFonts w:eastAsia="等线" w:ascii="Arial" w:cs="Arial" w:hAnsi="Arial"/>
          <w:sz w:val="22"/>
        </w:rPr>
        <w:t>文字记录</w:t>
      </w:r>
    </w:p>
    <w:p>
      <w:pPr>
        <w:numPr>
          <w:numId w:val="43"/>
        </w:numPr>
        <w:spacing w:before="120" w:after="120" w:line="288" w:lineRule="auto"/>
        <w:ind w:left="453"/>
        <w:jc w:val="left"/>
      </w:pPr>
      <w:hyperlink r:id="rId21">
        <w:r>
          <w:rPr>
            <w:rFonts w:eastAsia="等线" w:ascii="Arial" w:cs="Arial" w:hAnsi="Arial"/>
            <w:color w:val="3370ff"/>
            <w:sz w:val="22"/>
          </w:rPr>
          <w:t>02-6个维度讲清道道学习力 2026年1月23日</w:t>
        </w:r>
      </w:hyperlink>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5824">
    <w:lvl>
      <w:numFmt w:val="bullet"/>
      <w:suff w:val="tab"/>
      <w:lvlText w:val="•"/>
      <w:rPr>
        <w:color w:val="3370ff"/>
      </w:rPr>
    </w:lvl>
  </w:abstractNum>
  <w:abstractNum w:abstractNumId="95825">
    <w:lvl>
      <w:numFmt w:val="bullet"/>
      <w:suff w:val="tab"/>
      <w:lvlText w:val="￮"/>
      <w:rPr>
        <w:color w:val="3370ff"/>
      </w:rPr>
    </w:lvl>
  </w:abstractNum>
  <w:abstractNum w:abstractNumId="95826">
    <w:lvl>
      <w:numFmt w:val="bullet"/>
      <w:suff w:val="tab"/>
      <w:lvlText w:val="￮"/>
      <w:rPr>
        <w:color w:val="3370ff"/>
      </w:rPr>
    </w:lvl>
  </w:abstractNum>
  <w:abstractNum w:abstractNumId="95827">
    <w:lvl>
      <w:numFmt w:val="bullet"/>
      <w:suff w:val="tab"/>
      <w:lvlText w:val="•"/>
      <w:rPr>
        <w:color w:val="3370ff"/>
      </w:rPr>
    </w:lvl>
  </w:abstractNum>
  <w:abstractNum w:abstractNumId="95828">
    <w:lvl>
      <w:numFmt w:val="bullet"/>
      <w:suff w:val="tab"/>
      <w:lvlText w:val="￮"/>
      <w:rPr>
        <w:color w:val="3370ff"/>
      </w:rPr>
    </w:lvl>
  </w:abstractNum>
  <w:abstractNum w:abstractNumId="95829">
    <w:lvl>
      <w:numFmt w:val="bullet"/>
      <w:suff w:val="tab"/>
      <w:lvlText w:val="▪"/>
      <w:rPr>
        <w:color w:val="3370ff"/>
        <w:sz w:val="11"/>
      </w:rPr>
    </w:lvl>
  </w:abstractNum>
  <w:abstractNum w:abstractNumId="95830">
    <w:lvl>
      <w:numFmt w:val="bullet"/>
      <w:suff w:val="tab"/>
      <w:lvlText w:val="▪"/>
      <w:rPr>
        <w:color w:val="3370ff"/>
        <w:sz w:val="11"/>
      </w:rPr>
    </w:lvl>
  </w:abstractNum>
  <w:abstractNum w:abstractNumId="95831">
    <w:lvl>
      <w:numFmt w:val="bullet"/>
      <w:suff w:val="tab"/>
      <w:lvlText w:val="￮"/>
      <w:rPr>
        <w:color w:val="3370ff"/>
      </w:rPr>
    </w:lvl>
  </w:abstractNum>
  <w:abstractNum w:abstractNumId="95832">
    <w:lvl>
      <w:numFmt w:val="bullet"/>
      <w:suff w:val="tab"/>
      <w:lvlText w:val="•"/>
      <w:rPr>
        <w:color w:val="3370ff"/>
      </w:rPr>
    </w:lvl>
  </w:abstractNum>
  <w:abstractNum w:abstractNumId="95833">
    <w:lvl>
      <w:numFmt w:val="bullet"/>
      <w:suff w:val="tab"/>
      <w:lvlText w:val="•"/>
      <w:rPr>
        <w:color w:val="3370ff"/>
      </w:rPr>
    </w:lvl>
  </w:abstractNum>
  <w:abstractNum w:abstractNumId="95834">
    <w:lvl>
      <w:numFmt w:val="bullet"/>
      <w:suff w:val="tab"/>
      <w:lvlText w:val="•"/>
      <w:rPr>
        <w:color w:val="3370ff"/>
      </w:rPr>
    </w:lvl>
  </w:abstractNum>
  <w:abstractNum w:abstractNumId="95835">
    <w:lvl>
      <w:numFmt w:val="bullet"/>
      <w:suff w:val="tab"/>
      <w:lvlText w:val="•"/>
      <w:rPr>
        <w:color w:val="3370ff"/>
      </w:rPr>
    </w:lvl>
  </w:abstractNum>
  <w:abstractNum w:abstractNumId="95836">
    <w:lvl>
      <w:numFmt w:val="bullet"/>
      <w:suff w:val="tab"/>
      <w:lvlText w:val="￮"/>
      <w:rPr>
        <w:color w:val="3370ff"/>
      </w:rPr>
    </w:lvl>
  </w:abstractNum>
  <w:abstractNum w:abstractNumId="95837">
    <w:lvl>
      <w:numFmt w:val="bullet"/>
      <w:suff w:val="tab"/>
      <w:lvlText w:val="￮"/>
      <w:rPr>
        <w:color w:val="3370ff"/>
      </w:rPr>
    </w:lvl>
  </w:abstractNum>
  <w:abstractNum w:abstractNumId="95838">
    <w:lvl>
      <w:numFmt w:val="bullet"/>
      <w:suff w:val="tab"/>
      <w:lvlText w:val="￮"/>
      <w:rPr>
        <w:color w:val="3370ff"/>
      </w:rPr>
    </w:lvl>
  </w:abstractNum>
  <w:abstractNum w:abstractNumId="95839">
    <w:lvl>
      <w:numFmt w:val="bullet"/>
      <w:suff w:val="tab"/>
      <w:lvlText w:val="￮"/>
      <w:rPr>
        <w:color w:val="3370ff"/>
      </w:rPr>
    </w:lvl>
  </w:abstractNum>
  <w:abstractNum w:abstractNumId="95840">
    <w:lvl>
      <w:numFmt w:val="bullet"/>
      <w:suff w:val="tab"/>
      <w:lvlText w:val="￮"/>
      <w:rPr>
        <w:color w:val="3370ff"/>
      </w:rPr>
    </w:lvl>
  </w:abstractNum>
  <w:abstractNum w:abstractNumId="95841">
    <w:lvl>
      <w:numFmt w:val="bullet"/>
      <w:suff w:val="tab"/>
      <w:lvlText w:val="￮"/>
      <w:rPr>
        <w:color w:val="3370ff"/>
      </w:rPr>
    </w:lvl>
  </w:abstractNum>
  <w:abstractNum w:abstractNumId="95842">
    <w:lvl>
      <w:numFmt w:val="bullet"/>
      <w:suff w:val="tab"/>
      <w:lvlText w:val="￮"/>
      <w:rPr>
        <w:color w:val="3370ff"/>
      </w:rPr>
    </w:lvl>
  </w:abstractNum>
  <w:abstractNum w:abstractNumId="95843">
    <w:lvl>
      <w:numFmt w:val="bullet"/>
      <w:suff w:val="tab"/>
      <w:lvlText w:val="▪"/>
      <w:rPr>
        <w:color w:val="3370ff"/>
        <w:sz w:val="11"/>
      </w:rPr>
    </w:lvl>
  </w:abstractNum>
  <w:abstractNum w:abstractNumId="95844">
    <w:lvl>
      <w:numFmt w:val="bullet"/>
      <w:suff w:val="tab"/>
      <w:lvlText w:val="▪"/>
      <w:rPr>
        <w:color w:val="3370ff"/>
        <w:sz w:val="11"/>
      </w:rPr>
    </w:lvl>
  </w:abstractNum>
  <w:abstractNum w:abstractNumId="95845">
    <w:lvl>
      <w:numFmt w:val="bullet"/>
      <w:suff w:val="tab"/>
      <w:lvlText w:val="￮"/>
      <w:rPr>
        <w:color w:val="3370ff"/>
      </w:rPr>
    </w:lvl>
  </w:abstractNum>
  <w:abstractNum w:abstractNumId="95846">
    <w:lvl>
      <w:numFmt w:val="bullet"/>
      <w:suff w:val="tab"/>
      <w:lvlText w:val="▪"/>
      <w:rPr>
        <w:color w:val="3370ff"/>
        <w:sz w:val="11"/>
      </w:rPr>
    </w:lvl>
  </w:abstractNum>
  <w:abstractNum w:abstractNumId="95847">
    <w:lvl>
      <w:numFmt w:val="bullet"/>
      <w:suff w:val="tab"/>
      <w:lvlText w:val="▪"/>
      <w:rPr>
        <w:color w:val="3370ff"/>
        <w:sz w:val="11"/>
      </w:rPr>
    </w:lvl>
  </w:abstractNum>
  <w:abstractNum w:abstractNumId="95848">
    <w:lvl>
      <w:numFmt w:val="bullet"/>
      <w:suff w:val="tab"/>
      <w:lvlText w:val="•"/>
      <w:rPr>
        <w:color w:val="3370ff"/>
      </w:rPr>
    </w:lvl>
  </w:abstractNum>
  <w:abstractNum w:abstractNumId="95849">
    <w:lvl>
      <w:numFmt w:val="bullet"/>
      <w:suff w:val="tab"/>
      <w:lvlText w:val="￮"/>
      <w:rPr>
        <w:color w:val="3370ff"/>
      </w:rPr>
    </w:lvl>
  </w:abstractNum>
  <w:abstractNum w:abstractNumId="95850">
    <w:lvl>
      <w:numFmt w:val="bullet"/>
      <w:suff w:val="tab"/>
      <w:lvlText w:val="￮"/>
      <w:rPr>
        <w:color w:val="3370ff"/>
      </w:rPr>
    </w:lvl>
  </w:abstractNum>
  <w:abstractNum w:abstractNumId="95851">
    <w:lvl>
      <w:numFmt w:val="bullet"/>
      <w:suff w:val="space"/>
      <w:lvlText w:val="□"/>
    </w:lvl>
  </w:abstractNum>
  <w:abstractNum w:abstractNumId="95852">
    <w:lvl>
      <w:numFmt w:val="bullet"/>
      <w:suff w:val="space"/>
      <w:lvlText w:val="□"/>
    </w:lvl>
  </w:abstractNum>
  <w:abstractNum w:abstractNumId="95853">
    <w:lvl>
      <w:numFmt w:val="bullet"/>
      <w:suff w:val="tab"/>
      <w:lvlText w:val="•"/>
      <w:rPr>
        <w:color w:val="3370ff"/>
      </w:rPr>
    </w:lvl>
  </w:abstractNum>
  <w:abstractNum w:abstractNumId="95854">
    <w:lvl>
      <w:numFmt w:val="bullet"/>
      <w:suff w:val="tab"/>
      <w:lvlText w:val="￮"/>
      <w:rPr>
        <w:color w:val="3370ff"/>
      </w:rPr>
    </w:lvl>
  </w:abstractNum>
  <w:abstractNum w:abstractNumId="95855">
    <w:lvl>
      <w:numFmt w:val="bullet"/>
      <w:suff w:val="tab"/>
      <w:lvlText w:val="￮"/>
      <w:rPr>
        <w:color w:val="3370ff"/>
      </w:rPr>
    </w:lvl>
  </w:abstractNum>
  <w:abstractNum w:abstractNumId="95856">
    <w:lvl>
      <w:numFmt w:val="bullet"/>
      <w:suff w:val="tab"/>
      <w:lvlText w:val="▪"/>
      <w:rPr>
        <w:color w:val="3370ff"/>
        <w:sz w:val="11"/>
      </w:rPr>
    </w:lvl>
  </w:abstractNum>
  <w:abstractNum w:abstractNumId="95857">
    <w:lvl>
      <w:numFmt w:val="bullet"/>
      <w:suff w:val="tab"/>
      <w:lvlText w:val="▪"/>
      <w:rPr>
        <w:color w:val="3370ff"/>
        <w:sz w:val="11"/>
      </w:rPr>
    </w:lvl>
  </w:abstractNum>
  <w:abstractNum w:abstractNumId="95858">
    <w:lvl>
      <w:numFmt w:val="bullet"/>
      <w:suff w:val="tab"/>
      <w:lvlText w:val="▪"/>
      <w:rPr>
        <w:color w:val="3370ff"/>
        <w:sz w:val="11"/>
      </w:rPr>
    </w:lvl>
  </w:abstractNum>
  <w:abstractNum w:abstractNumId="95859">
    <w:lvl>
      <w:numFmt w:val="bullet"/>
      <w:suff w:val="tab"/>
      <w:lvlText w:val="▪"/>
      <w:rPr>
        <w:color w:val="3370ff"/>
        <w:sz w:val="11"/>
      </w:rPr>
    </w:lvl>
  </w:abstractNum>
  <w:abstractNum w:abstractNumId="95860">
    <w:lvl>
      <w:numFmt w:val="bullet"/>
      <w:suff w:val="tab"/>
      <w:lvlText w:val="￮"/>
      <w:rPr>
        <w:color w:val="3370ff"/>
      </w:rPr>
    </w:lvl>
  </w:abstractNum>
  <w:abstractNum w:abstractNumId="95861">
    <w:lvl>
      <w:numFmt w:val="bullet"/>
      <w:suff w:val="tab"/>
      <w:lvlText w:val="•"/>
      <w:rPr>
        <w:color w:val="3370ff"/>
      </w:rPr>
    </w:lvl>
  </w:abstractNum>
  <w:abstractNum w:abstractNumId="95862">
    <w:lvl>
      <w:start w:val="1"/>
      <w:numFmt w:val="lowerLetter"/>
      <w:suff w:val="tab"/>
      <w:lvlText w:val="%1."/>
      <w:rPr>
        <w:color w:val="3370ff"/>
      </w:rPr>
    </w:lvl>
  </w:abstractNum>
  <w:abstractNum w:abstractNumId="95863">
    <w:lvl>
      <w:start w:val="2"/>
      <w:numFmt w:val="lowerLetter"/>
      <w:suff w:val="tab"/>
      <w:lvlText w:val="%1."/>
      <w:rPr>
        <w:color w:val="3370ff"/>
      </w:rPr>
    </w:lvl>
  </w:abstractNum>
  <w:abstractNum w:abstractNumId="95864">
    <w:lvl>
      <w:numFmt w:val="bullet"/>
      <w:suff w:val="tab"/>
      <w:lvlText w:val="•"/>
      <w:rPr>
        <w:color w:val="3370ff"/>
      </w:rPr>
    </w:lvl>
  </w:abstractNum>
  <w:abstractNum w:abstractNumId="95865">
    <w:lvl>
      <w:numFmt w:val="bullet"/>
      <w:suff w:val="tab"/>
      <w:lvlText w:val="•"/>
      <w:rPr>
        <w:color w:val="3370ff"/>
      </w:rPr>
    </w:lvl>
  </w:abstractNum>
  <w:abstractNum w:abstractNumId="95866">
    <w:lvl>
      <w:numFmt w:val="bullet"/>
      <w:suff w:val="tab"/>
      <w:lvlText w:val="￮"/>
      <w:rPr>
        <w:color w:val="3370ff"/>
      </w:rPr>
    </w:lvl>
  </w:abstractNum>
  <w:num w:numId="1">
    <w:abstractNumId w:val="95824"/>
  </w:num>
  <w:num w:numId="2">
    <w:abstractNumId w:val="95825"/>
  </w:num>
  <w:num w:numId="3">
    <w:abstractNumId w:val="95826"/>
  </w:num>
  <w:num w:numId="4">
    <w:abstractNumId w:val="95827"/>
  </w:num>
  <w:num w:numId="5">
    <w:abstractNumId w:val="95828"/>
  </w:num>
  <w:num w:numId="6">
    <w:abstractNumId w:val="95829"/>
  </w:num>
  <w:num w:numId="7">
    <w:abstractNumId w:val="95830"/>
  </w:num>
  <w:num w:numId="8">
    <w:abstractNumId w:val="95831"/>
  </w:num>
  <w:num w:numId="9">
    <w:abstractNumId w:val="95832"/>
  </w:num>
  <w:num w:numId="10">
    <w:abstractNumId w:val="95833"/>
  </w:num>
  <w:num w:numId="11">
    <w:abstractNumId w:val="95834"/>
  </w:num>
  <w:num w:numId="12">
    <w:abstractNumId w:val="95835"/>
  </w:num>
  <w:num w:numId="13">
    <w:abstractNumId w:val="95836"/>
  </w:num>
  <w:num w:numId="14">
    <w:abstractNumId w:val="95837"/>
  </w:num>
  <w:num w:numId="15">
    <w:abstractNumId w:val="95838"/>
  </w:num>
  <w:num w:numId="16">
    <w:abstractNumId w:val="95839"/>
  </w:num>
  <w:num w:numId="17">
    <w:abstractNumId w:val="95840"/>
  </w:num>
  <w:num w:numId="18">
    <w:abstractNumId w:val="95841"/>
  </w:num>
  <w:num w:numId="19">
    <w:abstractNumId w:val="95842"/>
  </w:num>
  <w:num w:numId="20">
    <w:abstractNumId w:val="95843"/>
  </w:num>
  <w:num w:numId="21">
    <w:abstractNumId w:val="95844"/>
  </w:num>
  <w:num w:numId="22">
    <w:abstractNumId w:val="95845"/>
  </w:num>
  <w:num w:numId="23">
    <w:abstractNumId w:val="95846"/>
  </w:num>
  <w:num w:numId="24">
    <w:abstractNumId w:val="95847"/>
  </w:num>
  <w:num w:numId="25">
    <w:abstractNumId w:val="95848"/>
  </w:num>
  <w:num w:numId="26">
    <w:abstractNumId w:val="95849"/>
  </w:num>
  <w:num w:numId="27">
    <w:abstractNumId w:val="95850"/>
  </w:num>
  <w:num w:numId="28">
    <w:abstractNumId w:val="95851"/>
  </w:num>
  <w:num w:numId="29">
    <w:abstractNumId w:val="95852"/>
  </w:num>
  <w:num w:numId="30">
    <w:abstractNumId w:val="95853"/>
  </w:num>
  <w:num w:numId="31">
    <w:abstractNumId w:val="95854"/>
  </w:num>
  <w:num w:numId="32">
    <w:abstractNumId w:val="95855"/>
  </w:num>
  <w:num w:numId="33">
    <w:abstractNumId w:val="95856"/>
  </w:num>
  <w:num w:numId="34">
    <w:abstractNumId w:val="95857"/>
  </w:num>
  <w:num w:numId="35">
    <w:abstractNumId w:val="95858"/>
  </w:num>
  <w:num w:numId="36">
    <w:abstractNumId w:val="95859"/>
  </w:num>
  <w:num w:numId="37">
    <w:abstractNumId w:val="95860"/>
  </w:num>
  <w:num w:numId="38">
    <w:abstractNumId w:val="95861"/>
  </w:num>
  <w:num w:numId="39">
    <w:abstractNumId w:val="95862"/>
  </w:num>
  <w:num w:numId="40">
    <w:abstractNumId w:val="95863"/>
  </w:num>
  <w:num w:numId="41">
    <w:abstractNumId w:val="95864"/>
  </w:num>
  <w:num w:numId="42">
    <w:abstractNumId w:val="95865"/>
  </w:num>
  <w:num w:numId="43">
    <w:abstractNumId w:val="958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z22ylxptfe9gv5io86v?t=580000" TargetMode="External" Type="http://schemas.openxmlformats.org/officeDocument/2006/relationships/hyperlink"/><Relationship Id="rId11" Target="https://hcnytq72r1ge.feishu.cn/minutes/obcnfz22ylxptfe9gv5io86v?t=759000" TargetMode="External" Type="http://schemas.openxmlformats.org/officeDocument/2006/relationships/hyperlink"/><Relationship Id="rId12" Target="https://hcnytq72r1ge.feishu.cn/minutes/obcnfz22ylxptfe9gv5io86v?t=1012000" TargetMode="External" Type="http://schemas.openxmlformats.org/officeDocument/2006/relationships/hyperlink"/><Relationship Id="rId13" Target="https://hcnytq72r1ge.feishu.cn/minutes/obcnfz22ylxptfe9gv5io86v?t=1075000" TargetMode="External" Type="http://schemas.openxmlformats.org/officeDocument/2006/relationships/hyperlink"/><Relationship Id="rId14" Target="https://hcnytq72r1ge.feishu.cn/minutes/obcnfz22ylxptfe9gv5io86v?t=1160000" TargetMode="External" Type="http://schemas.openxmlformats.org/officeDocument/2006/relationships/hyperlink"/><Relationship Id="rId15" Target="https://hcnytq72r1ge.feishu.cn/minutes/obcnfz22ylxptfe9gv5io86v?t=1222000" TargetMode="External" Type="http://schemas.openxmlformats.org/officeDocument/2006/relationships/hyperlink"/><Relationship Id="rId16" Target="https://hcnytq72r1ge.feishu.cn/minutes/obcnfz22ylxptfe9gv5io86v?t=1356000" TargetMode="External" Type="http://schemas.openxmlformats.org/officeDocument/2006/relationships/hyperlink"/><Relationship Id="rId17" Target="https://hcnytq72r1ge.feishu.cn/minutes/obcnfz22ylxptfe9gv5io86v?t=1535000" TargetMode="External" Type="http://schemas.openxmlformats.org/officeDocument/2006/relationships/hyperlink"/><Relationship Id="rId18" Target="https://hcnytq72r1ge.feishu.cn/minutes/obcnfz22ylxptfe9gv5io86v?t=2017000" TargetMode="External" Type="http://schemas.openxmlformats.org/officeDocument/2006/relationships/hyperlink"/><Relationship Id="rId19" Target="https://hcnytq72r1ge.feishu.cn/minutes/obcnfz22ylxptfe9gv5io86v?t=2051000" TargetMode="External" Type="http://schemas.openxmlformats.org/officeDocument/2006/relationships/hyperlink"/><Relationship Id="rId2" Target="styles.xml" Type="http://schemas.openxmlformats.org/officeDocument/2006/relationships/styles"/><Relationship Id="rId20" Target="https://hcnytq72r1ge.feishu.cn/minutes/obcnfz22ylxptfe9gv5io86v?from=ai_minutes" TargetMode="External" Type="http://schemas.openxmlformats.org/officeDocument/2006/relationships/hyperlink"/><Relationship Id="rId21" Target="https://hcnytq72r1ge.feishu.cn/docx/CfxKd8MswoFvr2xUnmWcJ1HJn4d" TargetMode="External" Type="http://schemas.openxmlformats.org/officeDocument/2006/relationships/hyperlink"/><Relationship Id="rId22"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z22ylxptfe9gv5io86v?t=1000" TargetMode="External" Type="http://schemas.openxmlformats.org/officeDocument/2006/relationships/hyperlink"/><Relationship Id="rId9" Target="https://hcnytq72r1ge.feishu.cn/minutes/obcnfz22ylxptfe9gv5io86v?t=208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2026-01-27T06:38:32Z</dcterms:created>
  <dc:creator>Apache POI</dc:creator>
</cp:coreProperties>
</file>