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智能纪要：05-销售异议处理 2026年1月23日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会议主题：05-销售异议处理</w:t>
            </w:r>
          </w:p>
          <w:p>
            <w:pPr>
              <w:spacing w:before="120" w:after="120" w:line="288" w:lineRule="auto"/>
              <w:ind w:left="0"/>
              <w:jc w:val="left"/>
            </w:pPr>
            <w:r>
              <w:rPr>
                <w:rFonts w:eastAsia="等线" w:ascii="Arial" w:cs="Arial" w:hAnsi="Arial"/>
                <w:color w:val="646a73"/>
                <w:sz w:val="22"/>
              </w:rPr>
              <w:t>上传时间：1月23号（周五） 09:43 （GMT+08）</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智能纪要由 AI 生成，可能不准确，请谨慎甄别后使用</w:t>
            </w:r>
          </w:p>
        </w:tc>
      </w:tr>
    </w:tbl>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总结</w:t>
      </w:r>
      <w:bookmarkEnd w:id="0"/>
    </w:p>
    <w:p>
      <w:pPr>
        <w:spacing w:before="120" w:after="120" w:line="288" w:lineRule="auto"/>
        <w:ind w:left="0"/>
        <w:jc w:val="center"/>
      </w:pPr>
      <w:r>
        <w:drawing>
          <wp:inline distT="0" distR="0" distB="0" distL="0">
            <wp:extent cx="5257800" cy="33623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33623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本次会议是销售课的第五课也是最后一课，主要围绕销售异议的处理展开，介绍了销售异议的分类、虚假异议的类型及辨别方法、真实异议的处理步骤，并布置了相关作业，内容如下：</w:t>
      </w:r>
    </w:p>
    <w:p>
      <w:pPr>
        <w:numPr>
          <w:numId w:val="1"/>
        </w:numPr>
        <w:spacing w:before="120" w:after="120" w:line="288" w:lineRule="auto"/>
        <w:ind w:left="0"/>
        <w:jc w:val="left"/>
      </w:pPr>
      <w:r>
        <w:rPr>
          <w:rFonts w:eastAsia="等线" w:ascii="Arial" w:cs="Arial" w:hAnsi="Arial"/>
          <w:b w:val="true"/>
          <w:sz w:val="22"/>
        </w:rPr>
        <w:t>销售异议的分类</w:t>
      </w:r>
    </w:p>
    <w:tbl>
      <w:tblPr>
        <w:tblW w:w="0" w:type="auto"/>
        <w:tblInd w:w="453" w:type="dxa"/>
        <w:tblBorders>
          <w:top w:val="none" w:space="4"/>
          <w:left w:val="none" w:space="4"/>
          <w:bottom w:val="none" w:space="4"/>
          <w:right w:val="none" w:space="4"/>
          <w:insideH w:val="none" w:space="4"/>
          <w:insideV w:val="none" w:space="4"/>
        </w:tblBorders>
        <w:tblLayout w:type="fixed"/>
      </w:tblPr>
      <w:tblGrid>
        <w:gridCol w:w="4802"/>
        <w:gridCol w:w="3477"/>
      </w:tblGrid>
      <w:tr>
        <w:tc>
          <w:tcPr>
            <w:tcW w:w="4802" w:type="dxa"/>
            <w:tcMar>
              <w:top w:type="dxa" w:w="60"/>
              <w:left w:type="dxa" w:w="120"/>
              <w:bottom w:type="dxa" w:w="30"/>
              <w:right w:type="dxa" w:w="120"/>
            </w:tcMar>
          </w:tcPr>
          <w:p>
            <w:pPr>
              <w:numPr>
                <w:numId w:val="2"/>
              </w:numPr>
              <w:spacing w:before="120" w:after="120" w:line="288" w:lineRule="auto"/>
              <w:ind w:left="0"/>
              <w:jc w:val="left"/>
            </w:pPr>
            <w:r>
              <w:rPr>
                <w:rFonts w:eastAsia="等线" w:ascii="Arial" w:cs="Arial" w:hAnsi="Arial"/>
                <w:b w:val="true"/>
                <w:sz w:val="22"/>
              </w:rPr>
              <w:t>三类异议概述</w:t>
            </w:r>
          </w:p>
          <w:p>
            <w:pPr>
              <w:numPr>
                <w:numId w:val="3"/>
              </w:numPr>
              <w:spacing w:before="120" w:after="120" w:line="288" w:lineRule="auto"/>
              <w:ind w:left="453"/>
              <w:jc w:val="left"/>
            </w:pPr>
            <w:r>
              <w:rPr>
                <w:rFonts w:eastAsia="等线" w:ascii="Arial" w:cs="Arial" w:hAnsi="Arial"/>
                <w:sz w:val="22"/>
              </w:rPr>
              <w:t>异议分类明确：说话人1指出销售异议总共分为三类，分别是关于价格的异议、关于效果的异议以及虚假异议。</w:t>
            </w:r>
          </w:p>
          <w:p>
            <w:pPr>
              <w:numPr>
                <w:numId w:val="4"/>
              </w:numPr>
              <w:spacing w:before="120" w:after="120" w:line="288" w:lineRule="auto"/>
              <w:ind w:left="453"/>
              <w:jc w:val="left"/>
            </w:pPr>
            <w:r>
              <w:rPr>
                <w:rFonts w:eastAsia="等线" w:ascii="Arial" w:cs="Arial" w:hAnsi="Arial"/>
                <w:sz w:val="22"/>
              </w:rPr>
              <w:t>虚假异议举例：以自己大学时逛商店为例，说明虚假异议可能并非客户心里真正所想。当时看到裙子想买但价格太贵，便以想要红色裙子为由离开，而售货员可能会误以为客户喜欢红色裙子。</w:t>
            </w:r>
          </w:p>
        </w:tc>
        <w:tc>
          <w:tcPr>
            <w:tcW w:w="3477" w:type="dxa"/>
            <w:tcMar>
              <w:top w:type="dxa" w:w="60"/>
              <w:left w:type="dxa" w:w="120"/>
              <w:bottom w:type="dxa" w:w="30"/>
              <w:right w:type="dxa" w:w="120"/>
            </w:tcMar>
          </w:tcPr>
          <w:p>
            <w:pPr>
              <w:spacing w:before="120" w:after="120" w:line="288" w:lineRule="auto"/>
              <w:ind w:left="0"/>
              <w:jc w:val="center"/>
            </w:pPr>
            <w:r>
              <w:drawing>
                <wp:inline distT="0" distR="0" distB="0" distL="0">
                  <wp:extent cx="2047875" cy="9144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2047875" cy="91440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销售异议分类及根源</w:t>
              <w:br/>
            </w:r>
          </w:p>
        </w:tc>
      </w:tr>
    </w:tbl>
    <w:p>
      <w:pPr>
        <w:numPr>
          <w:numId w:val="5"/>
        </w:numPr>
        <w:spacing w:before="120" w:after="120" w:line="288" w:lineRule="auto"/>
        <w:ind w:left="453"/>
        <w:jc w:val="left"/>
      </w:pPr>
      <w:r>
        <w:rPr>
          <w:rFonts w:eastAsia="等线" w:ascii="Arial" w:cs="Arial" w:hAnsi="Arial"/>
          <w:b w:val="true"/>
          <w:sz w:val="22"/>
        </w:rPr>
        <w:t>真实异议的根源</w:t>
      </w:r>
    </w:p>
    <w:p>
      <w:pPr>
        <w:numPr>
          <w:numId w:val="6"/>
        </w:numPr>
        <w:spacing w:before="120" w:after="120" w:line="288" w:lineRule="auto"/>
        <w:ind w:left="907"/>
        <w:jc w:val="left"/>
      </w:pPr>
      <w:r>
        <w:rPr>
          <w:rFonts w:eastAsia="等线" w:ascii="Arial" w:cs="Arial" w:hAnsi="Arial"/>
          <w:sz w:val="22"/>
        </w:rPr>
        <w:t>价值塑造关键：强调所有真实异议的出现都是价值塑造不到位导致的。只要价值塑造到位，即使价格高，客户也可能购买。例如一个穷到叮当响的人，若价值塑造是他想要的，也可能刷信用卡买 10 万块钱的东西。</w:t>
      </w:r>
    </w:p>
    <w:p>
      <w:pPr>
        <w:numPr>
          <w:numId w:val="7"/>
        </w:numPr>
        <w:spacing w:before="120" w:after="120" w:line="288" w:lineRule="auto"/>
        <w:ind w:left="907"/>
        <w:jc w:val="left"/>
      </w:pPr>
      <w:r>
        <w:rPr>
          <w:rFonts w:eastAsia="等线" w:ascii="Arial" w:cs="Arial" w:hAnsi="Arial"/>
          <w:sz w:val="22"/>
        </w:rPr>
        <w:t>课程结合建议：建议学员结合之前讲的价值塑造课程反复学习，因为这两节课程紧密相关。</w:t>
      </w:r>
    </w:p>
    <w:p>
      <w:pPr>
        <w:numPr>
          <w:numId w:val="8"/>
        </w:numPr>
        <w:spacing w:before="120" w:after="120" w:line="288" w:lineRule="auto"/>
        <w:ind w:left="0"/>
        <w:jc w:val="left"/>
      </w:pPr>
      <w:r>
        <w:rPr>
          <w:rFonts w:eastAsia="等线" w:ascii="Arial" w:cs="Arial" w:hAnsi="Arial"/>
          <w:b w:val="true"/>
          <w:sz w:val="22"/>
        </w:rPr>
        <w:t>虚假异议的类型及辨别处理</w:t>
      </w:r>
    </w:p>
    <w:tbl>
      <w:tblPr>
        <w:tblW w:w="0" w:type="auto"/>
        <w:tblInd w:w="453" w:type="dxa"/>
        <w:tblBorders>
          <w:top w:val="none" w:space="4"/>
          <w:left w:val="none" w:space="4"/>
          <w:bottom w:val="none" w:space="4"/>
          <w:right w:val="none" w:space="4"/>
          <w:insideH w:val="none" w:space="4"/>
          <w:insideV w:val="none" w:space="4"/>
        </w:tblBorders>
        <w:tblLayout w:type="fixed"/>
      </w:tblPr>
      <w:tblGrid>
        <w:gridCol w:w="5050"/>
        <w:gridCol w:w="3229"/>
      </w:tblGrid>
      <w:tr>
        <w:tc>
          <w:tcPr>
            <w:tcW w:w="5050" w:type="dxa"/>
            <w:tcMar>
              <w:top w:type="dxa" w:w="60"/>
              <w:left w:type="dxa" w:w="120"/>
              <w:bottom w:type="dxa" w:w="30"/>
              <w:right w:type="dxa" w:w="120"/>
            </w:tcMar>
          </w:tcPr>
          <w:p>
            <w:pPr>
              <w:numPr>
                <w:numId w:val="9"/>
              </w:numPr>
              <w:spacing w:before="120" w:after="120" w:line="288" w:lineRule="auto"/>
              <w:ind w:left="0"/>
              <w:jc w:val="left"/>
            </w:pPr>
            <w:r>
              <w:rPr>
                <w:rFonts w:eastAsia="等线" w:ascii="Arial" w:cs="Arial" w:hAnsi="Arial"/>
                <w:b w:val="true"/>
                <w:sz w:val="22"/>
              </w:rPr>
              <w:t>常见虚假异议类型</w:t>
            </w:r>
          </w:p>
          <w:p>
            <w:pPr>
              <w:numPr>
                <w:numId w:val="10"/>
              </w:numPr>
              <w:spacing w:before="120" w:after="120" w:line="288" w:lineRule="auto"/>
              <w:ind w:left="453"/>
              <w:jc w:val="left"/>
            </w:pPr>
            <w:r>
              <w:rPr>
                <w:rFonts w:eastAsia="等线" w:ascii="Arial" w:cs="Arial" w:hAnsi="Arial"/>
                <w:sz w:val="22"/>
              </w:rPr>
              <w:t>为要优惠质疑效果：很多男人会通过质疑效果来打击销售，从而给自己要优惠。比如客户明确报出其他类似服务的价格，抨击当前服务效果不怎么样，实际是想获得优惠。</w:t>
            </w:r>
          </w:p>
          <w:p>
            <w:pPr>
              <w:numPr>
                <w:numId w:val="11"/>
              </w:numPr>
              <w:spacing w:before="120" w:after="120" w:line="288" w:lineRule="auto"/>
              <w:ind w:left="453"/>
              <w:jc w:val="left"/>
            </w:pPr>
            <w:r>
              <w:rPr>
                <w:rFonts w:eastAsia="等线" w:ascii="Arial" w:cs="Arial" w:hAnsi="Arial"/>
                <w:sz w:val="22"/>
              </w:rPr>
              <w:t>未击中痛点找借口：当价值塑造未到位，客户不想买或买不起又不好意思说时，会找各种借口。如一位爸爸拿着产品手册挑毛病，实际是觉得产品太贵，但不好意思说。</w:t>
            </w:r>
          </w:p>
          <w:p>
            <w:pPr>
              <w:numPr>
                <w:numId w:val="12"/>
              </w:numPr>
              <w:spacing w:before="120" w:after="120" w:line="288" w:lineRule="auto"/>
              <w:ind w:left="453"/>
              <w:jc w:val="left"/>
            </w:pPr>
            <w:r>
              <w:rPr>
                <w:rFonts w:eastAsia="等线" w:ascii="Arial" w:cs="Arial" w:hAnsi="Arial"/>
                <w:sz w:val="22"/>
              </w:rPr>
              <w:t>不想马上掏钱找理由：客户单纯不想马上掏钱时，会找借口，如说要回去跟爸爸商量、问爸爸要钱等。说话人1以自己买手机为例，说明自己虽决定购买，但因价格高想磨蹭一下。</w:t>
            </w:r>
          </w:p>
        </w:tc>
        <w:tc>
          <w:tcPr>
            <w:tcW w:w="3229" w:type="dxa"/>
            <w:tcMar>
              <w:top w:type="dxa" w:w="60"/>
              <w:left w:type="dxa" w:w="120"/>
              <w:bottom w:type="dxa" w:w="30"/>
              <w:right w:type="dxa" w:w="120"/>
            </w:tcMar>
          </w:tcPr>
          <w:p>
            <w:pPr>
              <w:spacing w:before="120" w:after="120" w:line="288" w:lineRule="auto"/>
              <w:ind w:left="0"/>
              <w:jc w:val="center"/>
            </w:pPr>
            <w:r>
              <w:drawing>
                <wp:inline distT="0" distR="0" distB="0" distL="0">
                  <wp:extent cx="1895475" cy="8572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1895475" cy="8572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虚假异议类型及辨别方法</w:t>
              <w:br/>
            </w:r>
          </w:p>
        </w:tc>
      </w:tr>
    </w:tbl>
    <w:p>
      <w:pPr>
        <w:numPr>
          <w:numId w:val="13"/>
        </w:numPr>
        <w:spacing w:before="120" w:after="120" w:line="288" w:lineRule="auto"/>
        <w:ind w:left="453"/>
        <w:jc w:val="left"/>
      </w:pPr>
      <w:r>
        <w:rPr>
          <w:rFonts w:eastAsia="等线" w:ascii="Arial" w:cs="Arial" w:hAnsi="Arial"/>
          <w:b w:val="true"/>
          <w:sz w:val="22"/>
        </w:rPr>
        <w:t>虚假异议的辨别与处理</w:t>
      </w:r>
    </w:p>
    <w:p>
      <w:pPr>
        <w:numPr>
          <w:numId w:val="14"/>
        </w:numPr>
        <w:spacing w:before="120" w:after="120" w:line="288" w:lineRule="auto"/>
        <w:ind w:left="907"/>
        <w:jc w:val="left"/>
      </w:pPr>
      <w:r>
        <w:rPr>
          <w:rFonts w:eastAsia="等线" w:ascii="Arial" w:cs="Arial" w:hAnsi="Arial"/>
          <w:sz w:val="22"/>
        </w:rPr>
        <w:t>提问辨别：辨别虚假异议的方法是提问，提前准备 10 - 15 个问题，在客户提出异议时向其提问，而不是直接回答客户的问题。</w:t>
      </w:r>
    </w:p>
    <w:p>
      <w:pPr>
        <w:numPr>
          <w:numId w:val="15"/>
        </w:numPr>
        <w:spacing w:before="120" w:after="120" w:line="288" w:lineRule="auto"/>
        <w:ind w:left="907"/>
        <w:jc w:val="left"/>
      </w:pPr>
      <w:r>
        <w:rPr>
          <w:rFonts w:eastAsia="等线" w:ascii="Arial" w:cs="Arial" w:hAnsi="Arial"/>
          <w:sz w:val="22"/>
        </w:rPr>
        <w:t>逼单处理：对于单纯不想马上掏钱的客户，可以进行逼单。例如客户说要回去跟爸爸商量，可建议客户在当场给爸爸打电话商量，方便及时解释问题。</w:t>
      </w:r>
    </w:p>
    <w:p>
      <w:pPr>
        <w:numPr>
          <w:numId w:val="16"/>
        </w:numPr>
        <w:spacing w:before="120" w:after="120" w:line="288" w:lineRule="auto"/>
        <w:ind w:left="0"/>
        <w:jc w:val="left"/>
      </w:pPr>
      <w:r>
        <w:rPr>
          <w:rFonts w:eastAsia="等线" w:ascii="Arial" w:cs="Arial" w:hAnsi="Arial"/>
          <w:b w:val="true"/>
          <w:sz w:val="22"/>
        </w:rPr>
        <w:t>真实异议的处理步骤（CPLA）</w:t>
      </w:r>
    </w:p>
    <w:p>
      <w:pPr>
        <w:numPr>
          <w:numId w:val="17"/>
        </w:numPr>
        <w:spacing w:before="120" w:after="120" w:line="288" w:lineRule="auto"/>
        <w:ind w:left="453"/>
        <w:jc w:val="left"/>
      </w:pPr>
      <w:r>
        <w:rPr>
          <w:rFonts w:eastAsia="等线" w:ascii="Arial" w:cs="Arial" w:hAnsi="Arial"/>
          <w:b w:val="true"/>
          <w:sz w:val="22"/>
        </w:rPr>
        <w:t>第一步：缓冲</w:t>
      </w:r>
    </w:p>
    <w:p>
      <w:pPr>
        <w:numPr>
          <w:numId w:val="18"/>
        </w:numPr>
        <w:spacing w:before="120" w:after="120" w:line="288" w:lineRule="auto"/>
        <w:ind w:left="907"/>
        <w:jc w:val="left"/>
      </w:pPr>
      <w:r>
        <w:rPr>
          <w:rFonts w:eastAsia="等线" w:ascii="Arial" w:cs="Arial" w:hAnsi="Arial"/>
          <w:sz w:val="22"/>
        </w:rPr>
        <w:t>理解而非认同：要站在客户的立场表示理解，常用句式如 “我理解你，我明白你”，但不是认同客户。例如客户说产品贵，若认同客户说价格确实不低，后续很难成交。</w:t>
      </w:r>
    </w:p>
    <w:p>
      <w:pPr>
        <w:numPr>
          <w:numId w:val="19"/>
        </w:numPr>
        <w:spacing w:before="120" w:after="120" w:line="288" w:lineRule="auto"/>
        <w:ind w:left="907"/>
        <w:jc w:val="left"/>
      </w:pPr>
      <w:r>
        <w:rPr>
          <w:rFonts w:eastAsia="等线" w:ascii="Arial" w:cs="Arial" w:hAnsi="Arial"/>
          <w:sz w:val="22"/>
        </w:rPr>
        <w:t>示例话术：以 “你们这个服务实在太贵了” 为例，正确的缓冲话术是 “家长，我理解你，之前花了非常多的钱去给孩子补课，也依然没有达到效果，所以你在花钱的时候是更加谨慎的，你希望把钱花的更值得你关注的不仅仅是这样的东西的一个绝对值，更是这个钱我到底花出去了之后值不值得，对不对？所以你这个决定，你这个看法确实是非常正确的”。</w:t>
      </w:r>
    </w:p>
    <w:p>
      <w:pPr>
        <w:numPr>
          <w:numId w:val="20"/>
        </w:numPr>
        <w:spacing w:before="120" w:after="120" w:line="288" w:lineRule="auto"/>
        <w:ind w:left="453"/>
        <w:jc w:val="left"/>
      </w:pPr>
      <w:r>
        <w:rPr>
          <w:rFonts w:eastAsia="等线" w:ascii="Arial" w:cs="Arial" w:hAnsi="Arial"/>
          <w:b w:val="true"/>
          <w:sz w:val="22"/>
        </w:rPr>
        <w:t>第二步：探寻</w:t>
      </w:r>
    </w:p>
    <w:p>
      <w:pPr>
        <w:numPr>
          <w:numId w:val="21"/>
        </w:numPr>
        <w:spacing w:before="120" w:after="120" w:line="288" w:lineRule="auto"/>
        <w:ind w:left="907"/>
        <w:jc w:val="left"/>
      </w:pPr>
      <w:r>
        <w:rPr>
          <w:rFonts w:eastAsia="等线" w:ascii="Arial" w:cs="Arial" w:hAnsi="Arial"/>
          <w:sz w:val="22"/>
        </w:rPr>
        <w:t>了解原因：通过询问 “你怎么评价我们的产品？”“你为什么会有这样的一些想法？”“对什么事情，你是怎么看的？”“你是有过什么样的经历导致你有这样的想法吗？” 等问题，了解客户产生销售异议想法的原因。</w:t>
      </w:r>
    </w:p>
    <w:p>
      <w:pPr>
        <w:numPr>
          <w:numId w:val="22"/>
        </w:numPr>
        <w:spacing w:before="120" w:after="120" w:line="288" w:lineRule="auto"/>
        <w:ind w:left="907"/>
        <w:jc w:val="left"/>
      </w:pPr>
      <w:r>
        <w:rPr>
          <w:rFonts w:eastAsia="等线" w:ascii="Arial" w:cs="Arial" w:hAnsi="Arial"/>
          <w:sz w:val="22"/>
        </w:rPr>
        <w:t>追问细节：在客户回答后，进一步追问细节，以便找到价值塑造不到位的地方。例如客户提到之前补数学的价格和课程情况，可追问是大班还是小班、一周上几节、一年是否包括寒暑假等。</w:t>
      </w:r>
    </w:p>
    <w:p>
      <w:pPr>
        <w:numPr>
          <w:numId w:val="23"/>
        </w:numPr>
        <w:spacing w:before="120" w:after="120" w:line="288" w:lineRule="auto"/>
        <w:ind w:left="453"/>
        <w:jc w:val="left"/>
      </w:pPr>
      <w:r>
        <w:rPr>
          <w:rFonts w:eastAsia="等线" w:ascii="Arial" w:cs="Arial" w:hAnsi="Arial"/>
          <w:b w:val="true"/>
          <w:sz w:val="22"/>
        </w:rPr>
        <w:t>第三步：聆听</w:t>
      </w:r>
      <w:r>
        <w:rPr>
          <w:rFonts w:eastAsia="等线" w:ascii="Arial" w:cs="Arial" w:hAnsi="Arial"/>
          <w:sz w:val="22"/>
        </w:rPr>
        <w:t>：在聆听客户表达的过程中，寻找沟通的误区，确定是哪一方面的价值没有塑造到位。因为所有销售异议的出现都是价值塑造不到位的结果。</w:t>
      </w:r>
    </w:p>
    <w:p>
      <w:pPr>
        <w:numPr>
          <w:numId w:val="24"/>
        </w:numPr>
        <w:spacing w:before="120" w:after="120" w:line="288" w:lineRule="auto"/>
        <w:ind w:left="453"/>
        <w:jc w:val="left"/>
      </w:pPr>
      <w:r>
        <w:rPr>
          <w:rFonts w:eastAsia="等线" w:ascii="Arial" w:cs="Arial" w:hAnsi="Arial"/>
          <w:b w:val="true"/>
          <w:sz w:val="22"/>
        </w:rPr>
        <w:t>第四步：改进</w:t>
      </w:r>
      <w:r>
        <w:rPr>
          <w:rFonts w:eastAsia="等线" w:ascii="Arial" w:cs="Arial" w:hAnsi="Arial"/>
          <w:sz w:val="22"/>
        </w:rPr>
        <w:t>：根据聆听过程中找到的价值塑造不到位的点，重新塑造价值。强调不是一对一制定与客户相关的话术，而是在销售六要素中挑选合适的话术应对。例如发现之前没有解释清楚产品的某些特点，就重新向客户解释。</w:t>
      </w:r>
    </w:p>
    <w:p>
      <w:pPr>
        <w:spacing w:before="120" w:after="120" w:line="288" w:lineRule="auto"/>
        <w:ind w:left="453"/>
        <w:jc w:val="center"/>
      </w:pPr>
      <w:r>
        <w:drawing>
          <wp:inline distT="0" distR="0" distB="0" distL="0">
            <wp:extent cx="5257800" cy="141922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1419225"/>
                    </a:xfrm>
                    <a:prstGeom prst="rect">
                      <a:avLst/>
                    </a:prstGeom>
                  </pic:spPr>
                </pic:pic>
              </a:graphicData>
            </a:graphic>
          </wp:inline>
        </w:drawing>
      </w:r>
    </w:p>
    <w:p>
      <w:pPr>
        <w:spacing w:before="120" w:after="120" w:line="288" w:lineRule="auto"/>
        <w:ind w:left="453"/>
        <w:jc w:val="center"/>
      </w:pPr>
      <w:r>
        <w:rPr>
          <w:rFonts w:eastAsia="等线" w:ascii="Arial" w:cs="Arial" w:hAnsi="Arial"/>
          <w:color w:val="8F959E"/>
          <w:sz w:val="22"/>
        </w:rPr>
        <w:t>真实异议处理CPLA四步法</w:t>
        <w:br/>
      </w:r>
    </w:p>
    <w:p>
      <w:pPr>
        <w:numPr>
          <w:numId w:val="25"/>
        </w:numPr>
        <w:spacing w:before="120" w:after="120" w:line="288" w:lineRule="auto"/>
        <w:ind w:left="0"/>
        <w:jc w:val="left"/>
      </w:pPr>
      <w:r>
        <w:rPr>
          <w:rFonts w:eastAsia="等线" w:ascii="Arial" w:cs="Arial" w:hAnsi="Arial"/>
          <w:b w:val="true"/>
          <w:sz w:val="22"/>
        </w:rPr>
        <w:t>课程作业与总结</w:t>
      </w:r>
    </w:p>
    <w:p>
      <w:pPr>
        <w:numPr>
          <w:numId w:val="26"/>
        </w:numPr>
        <w:spacing w:before="120" w:after="120" w:line="288" w:lineRule="auto"/>
        <w:ind w:left="453"/>
        <w:jc w:val="left"/>
      </w:pPr>
      <w:r>
        <w:rPr>
          <w:rFonts w:eastAsia="等线" w:ascii="Arial" w:cs="Arial" w:hAnsi="Arial"/>
          <w:b w:val="true"/>
          <w:sz w:val="22"/>
        </w:rPr>
        <w:t>作业布置</w:t>
      </w:r>
      <w:r>
        <w:rPr>
          <w:rFonts w:eastAsia="等线" w:ascii="Arial" w:cs="Arial" w:hAnsi="Arial"/>
          <w:sz w:val="22"/>
        </w:rPr>
        <w:t>：要求学员按照 CPLA 的步骤完成三条话术，分别是客户说 “你太贵了”“你能不能保我提多少分？如果说这个提这么多分没有达到，你该怎么办”“质疑我们这种做法，说你不补课怎么可能提分呢” 时的应对话术。</w:t>
      </w:r>
    </w:p>
    <w:p>
      <w:pPr>
        <w:numPr>
          <w:numId w:val="27"/>
        </w:numPr>
        <w:spacing w:before="120" w:after="120" w:line="288" w:lineRule="auto"/>
        <w:ind w:left="453"/>
        <w:jc w:val="left"/>
      </w:pPr>
      <w:r>
        <w:rPr>
          <w:rFonts w:eastAsia="等线" w:ascii="Arial" w:cs="Arial" w:hAnsi="Arial"/>
          <w:b w:val="true"/>
          <w:sz w:val="22"/>
        </w:rPr>
        <w:t>课程总结</w:t>
      </w:r>
      <w:r>
        <w:rPr>
          <w:rFonts w:eastAsia="等线" w:ascii="Arial" w:cs="Arial" w:hAnsi="Arial"/>
          <w:sz w:val="22"/>
        </w:rPr>
        <w:t>：本次销售课共 5 节，至此全部结束。在下周一的答疑课上，说话人1会点评大家的作业，并回复所有问题。</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待办</w:t>
      </w:r>
      <w:bookmarkEnd w:id="1"/>
    </w:p>
    <w:p>
      <w:pPr>
        <w:numPr>
          <w:numId w:val="28"/>
        </w:numPr>
        <w:spacing w:before="120" w:after="120" w:line="288" w:lineRule="auto"/>
        <w:ind w:left="0"/>
        <w:jc w:val="left"/>
      </w:pPr>
      <w:r>
        <w:rPr>
          <w:rFonts w:eastAsia="等线" w:ascii="Arial" w:cs="Arial" w:hAnsi="Arial"/>
          <w:sz w:val="22"/>
        </w:rPr>
        <w:t>所有参会人按照 CPLA 的步骤完成三条话术，分别应对客户说“太贵了”、“能不能保我提多少分”以及“质疑不补课怎么可能提分”的问题</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b w:val="true"/>
          <w:sz w:val="36"/>
        </w:rPr>
        <w:t>智能章节</w:t>
      </w:r>
      <w:bookmarkEnd w:id="2"/>
    </w:p>
    <w:p>
      <w:pPr>
        <w:spacing w:before="120" w:after="120" w:line="288" w:lineRule="auto"/>
        <w:ind w:left="0"/>
        <w:jc w:val="left"/>
      </w:pPr>
      <w:hyperlink r:id="rId9">
        <w:r>
          <w:rPr>
            <w:rFonts w:eastAsia="等线" w:ascii="Arial" w:cs="Arial" w:hAnsi="Arial"/>
            <w:color w:val="3370ff"/>
            <w:sz w:val="22"/>
          </w:rPr>
          <w:t>00:02</w:t>
        </w:r>
      </w:hyperlink>
      <w:r>
        <w:rPr>
          <w:rFonts w:eastAsia="等线" w:ascii="Arial" w:cs="Arial" w:hAnsi="Arial"/>
          <w:b w:val="true"/>
          <w:sz w:val="22"/>
        </w:rPr>
        <w:t xml:space="preserve">  销售课第五课：三类销售异议及虚假异议示例</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是销售课第五课，也是最后一课，主要讲销售异议的处理。销售异议共三类，即价格异议、效果异议和虚假异议。说话人以大学时逛店为例，说明虚假异议是客户提出并非内心真正所想的异议，若不是虚假异议，真实的基本就归为价格和效果两类。</w:t>
            </w:r>
          </w:p>
        </w:tc>
      </w:tr>
    </w:tbl>
    <w:p>
      <w:pPr>
        <w:spacing w:before="120" w:after="120" w:line="288" w:lineRule="auto"/>
        <w:ind w:left="0"/>
        <w:jc w:val="left"/>
      </w:pPr>
      <w:hyperlink r:id="rId10">
        <w:r>
          <w:rPr>
            <w:rFonts w:eastAsia="等线" w:ascii="Arial" w:cs="Arial" w:hAnsi="Arial"/>
            <w:color w:val="3370ff"/>
            <w:sz w:val="22"/>
          </w:rPr>
          <w:t>01:59</w:t>
        </w:r>
      </w:hyperlink>
      <w:r>
        <w:rPr>
          <w:rFonts w:eastAsia="等线" w:ascii="Arial" w:cs="Arial" w:hAnsi="Arial"/>
          <w:b w:val="true"/>
          <w:sz w:val="22"/>
        </w:rPr>
        <w:t xml:space="preserve">  销售异议处理与价值塑造的关联及判断要点</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围绕销售异议处理展开。指出所有真实异议的出现是价值塑造不到位所致，即便价格高，只要价值是客户想要的，客户也可能购买。强调听本节课需结合之前的价值塑造课程反复听。还提到处理客户异议时，第一步要判断所解决的异议是否真实。</w:t>
            </w:r>
          </w:p>
        </w:tc>
      </w:tr>
    </w:tbl>
    <w:p>
      <w:pPr>
        <w:spacing w:before="120" w:after="120" w:line="288" w:lineRule="auto"/>
        <w:ind w:left="0"/>
        <w:jc w:val="left"/>
      </w:pPr>
      <w:hyperlink r:id="rId11">
        <w:r>
          <w:rPr>
            <w:rFonts w:eastAsia="等线" w:ascii="Arial" w:cs="Arial" w:hAnsi="Arial"/>
            <w:color w:val="3370ff"/>
            <w:sz w:val="22"/>
          </w:rPr>
          <w:t>03:13</w:t>
        </w:r>
      </w:hyperlink>
      <w:r>
        <w:rPr>
          <w:rFonts w:eastAsia="等线" w:ascii="Arial" w:cs="Arial" w:hAnsi="Arial"/>
          <w:b w:val="true"/>
          <w:sz w:val="22"/>
        </w:rPr>
        <w:t xml:space="preserve">  客户借质疑效果索要优惠的情况分析</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介绍了虚假意义的一类情况，有人想要点优惠，但不直接说价格贵，而是质疑效果，如提及之前某老师收费低。当对方明确给出价格作对比时，其目的多是为要优惠而非真在意效果。常提出此类异议的多是男性，因好胜心不愿承认东西贵、自己买不起。</w:t>
            </w:r>
          </w:p>
        </w:tc>
      </w:tr>
    </w:tbl>
    <w:p>
      <w:pPr>
        <w:spacing w:before="120" w:after="120" w:line="288" w:lineRule="auto"/>
        <w:ind w:left="0"/>
        <w:jc w:val="left"/>
      </w:pPr>
      <w:hyperlink r:id="rId12">
        <w:r>
          <w:rPr>
            <w:rFonts w:eastAsia="等线" w:ascii="Arial" w:cs="Arial" w:hAnsi="Arial"/>
            <w:color w:val="3370ff"/>
            <w:sz w:val="22"/>
          </w:rPr>
          <w:t>04:44</w:t>
        </w:r>
      </w:hyperlink>
      <w:r>
        <w:rPr>
          <w:rFonts w:eastAsia="等线" w:ascii="Arial" w:cs="Arial" w:hAnsi="Arial"/>
          <w:b w:val="true"/>
          <w:sz w:val="22"/>
        </w:rPr>
        <w:t xml:space="preserve">  销售中难辨客户拒绝原因及辨别方法</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指出销售中难判断的情况是未击中客户痛点、价值塑造不到位，客户不想买或买不起又不好意思说，会找借口挑刺。还举了销售总监应对挑刺爸爸的极端例子，最终拿下单。辨别方法是提问，做咨询前准备10 - 15个问题，在客户提问时反过来向其提问，避免被客户带偏。</w:t>
            </w:r>
          </w:p>
        </w:tc>
      </w:tr>
    </w:tbl>
    <w:p>
      <w:pPr>
        <w:spacing w:before="120" w:after="120" w:line="288" w:lineRule="auto"/>
        <w:ind w:left="0"/>
        <w:jc w:val="left"/>
      </w:pPr>
      <w:hyperlink r:id="rId13">
        <w:r>
          <w:rPr>
            <w:rFonts w:eastAsia="等线" w:ascii="Arial" w:cs="Arial" w:hAnsi="Arial"/>
            <w:color w:val="3370ff"/>
            <w:sz w:val="22"/>
          </w:rPr>
          <w:t>08:09</w:t>
        </w:r>
      </w:hyperlink>
      <w:r>
        <w:rPr>
          <w:rFonts w:eastAsia="等线" w:ascii="Arial" w:cs="Arial" w:hAnsi="Arial"/>
          <w:b w:val="true"/>
          <w:sz w:val="22"/>
        </w:rPr>
        <w:t xml:space="preserve">  销售常见虚假异议类型及逼单、辨别方法</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讲述销售中客户的虚假异议。一种是单纯不想马上掏钱而找借口，如要回去跟爸爸商量等，可直接逼单，让其当场与家人商量并帮忙解释。还提到要识别虚假异议，常见类型多为销售中常遇的几种，其中最难辨别的是客户因各种原因不好意思说不想买或买不起的情况。</w:t>
            </w:r>
          </w:p>
        </w:tc>
      </w:tr>
    </w:tbl>
    <w:p>
      <w:pPr>
        <w:spacing w:before="120" w:after="120" w:line="288" w:lineRule="auto"/>
        <w:ind w:left="0"/>
        <w:jc w:val="left"/>
      </w:pPr>
      <w:hyperlink r:id="rId14">
        <w:r>
          <w:rPr>
            <w:rFonts w:eastAsia="等线" w:ascii="Arial" w:cs="Arial" w:hAnsi="Arial"/>
            <w:color w:val="3370ff"/>
            <w:sz w:val="22"/>
          </w:rPr>
          <w:t>10:26</w:t>
        </w:r>
      </w:hyperlink>
      <w:r>
        <w:rPr>
          <w:rFonts w:eastAsia="等线" w:ascii="Arial" w:cs="Arial" w:hAnsi="Arial"/>
          <w:b w:val="true"/>
          <w:sz w:val="22"/>
        </w:rPr>
        <w:t xml:space="preserve">  CPLA四步法处理销售真实异议的方法</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本章节介绍处理真实异议的 CPLA 四步法中的前两步。第一步缓冲，要站在客户立场表示理解，避免认同客户，常用“我理解你，我明白你”句式，需柔和转折；第二步探寻，了解客户产生销售异议的原因，常用“你怎么评价我们的产品”等句式，边聆听边找价值塑造不到位之处。</w:t>
            </w:r>
          </w:p>
        </w:tc>
      </w:tr>
    </w:tbl>
    <w:p>
      <w:pPr>
        <w:spacing w:before="120" w:after="120" w:line="288" w:lineRule="auto"/>
        <w:ind w:left="0"/>
        <w:jc w:val="left"/>
      </w:pPr>
      <w:hyperlink r:id="rId15">
        <w:r>
          <w:rPr>
            <w:rFonts w:eastAsia="等线" w:ascii="Arial" w:cs="Arial" w:hAnsi="Arial"/>
            <w:color w:val="3370ff"/>
            <w:sz w:val="22"/>
          </w:rPr>
          <w:t>13:57</w:t>
        </w:r>
      </w:hyperlink>
      <w:r>
        <w:rPr>
          <w:rFonts w:eastAsia="等线" w:ascii="Arial" w:cs="Arial" w:hAnsi="Arial"/>
          <w:b w:val="true"/>
          <w:sz w:val="22"/>
        </w:rPr>
        <w:t xml:space="preserve">  销售应对异议：重塑价值及案例讲解</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讲述销售中聆听客户表达、寻找沟通误区的方法。指出销售异议源于价值塑造不到位，需重新塑造价值。以“服务太贵”为例，先进行缓冲表达理解，再探寻客户觉得贵的原因，客户说明后，进一步追问课程细节，从而找出价值塑造未到位之处。</w:t>
            </w:r>
          </w:p>
        </w:tc>
      </w:tr>
    </w:tbl>
    <w:p>
      <w:pPr>
        <w:spacing w:before="120" w:after="120" w:line="288" w:lineRule="auto"/>
        <w:ind w:left="0"/>
        <w:jc w:val="left"/>
      </w:pPr>
      <w:hyperlink r:id="rId16">
        <w:r>
          <w:rPr>
            <w:rFonts w:eastAsia="等线" w:ascii="Arial" w:cs="Arial" w:hAnsi="Arial"/>
            <w:color w:val="3370ff"/>
            <w:sz w:val="22"/>
          </w:rPr>
          <w:t>16:20</w:t>
        </w:r>
      </w:hyperlink>
      <w:r>
        <w:rPr>
          <w:rFonts w:eastAsia="等线" w:ascii="Arial" w:cs="Arial" w:hAnsi="Arial"/>
          <w:b w:val="true"/>
          <w:sz w:val="22"/>
        </w:rPr>
        <w:t xml:space="preserve">  销售异议归因价值塑造不到位及应对思路</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说话人1先是向家长致歉并重新解释相关内容。强调要从刚才找到的细节中判断价值塑造哪方面不到位，指出不是进行一对一定制话术，而是根据情况从价值塑造和销售六要素里挑选话术应对。还坚信所有销售异议的出现都是价值塑造没到位导致的。</w:t>
            </w:r>
          </w:p>
        </w:tc>
      </w:tr>
    </w:tbl>
    <w:p>
      <w:pPr>
        <w:spacing w:before="120" w:after="120" w:line="288" w:lineRule="auto"/>
        <w:ind w:left="0"/>
        <w:jc w:val="left"/>
      </w:pPr>
      <w:hyperlink r:id="rId17">
        <w:r>
          <w:rPr>
            <w:rFonts w:eastAsia="等线" w:ascii="Arial" w:cs="Arial" w:hAnsi="Arial"/>
            <w:color w:val="3370ff"/>
            <w:sz w:val="22"/>
          </w:rPr>
          <w:t>17:22</w:t>
        </w:r>
      </w:hyperlink>
      <w:r>
        <w:rPr>
          <w:rFonts w:eastAsia="等线" w:ascii="Arial" w:cs="Arial" w:hAnsi="Arial"/>
          <w:b w:val="true"/>
          <w:sz w:val="22"/>
        </w:rPr>
        <w:t xml:space="preserve">  销售异议真假辨别方法及课程结合要点</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围绕销售异议处理展开，强调辨别异议真假是第一步，可通过提问探寻。说话人准备了12个问题，若怀疑异议为假，抛给对方并根据回答判断真假，还有可能找到真正异议。同时指出本节课要结合销售六要素和价值塑造内容，强调销售异议出现多因价值塑造不到位。</w:t>
            </w:r>
          </w:p>
        </w:tc>
      </w:tr>
    </w:tbl>
    <w:p>
      <w:pPr>
        <w:spacing w:before="120" w:after="120" w:line="288" w:lineRule="auto"/>
        <w:ind w:left="0"/>
        <w:jc w:val="left"/>
      </w:pPr>
      <w:hyperlink r:id="rId18">
        <w:r>
          <w:rPr>
            <w:rFonts w:eastAsia="等线" w:ascii="Arial" w:cs="Arial" w:hAnsi="Arial"/>
            <w:color w:val="3370ff"/>
            <w:sz w:val="22"/>
          </w:rPr>
          <w:t>18:48</w:t>
        </w:r>
      </w:hyperlink>
      <w:r>
        <w:rPr>
          <w:rFonts w:eastAsia="等线" w:ascii="Arial" w:cs="Arial" w:hAnsi="Arial"/>
          <w:b w:val="true"/>
          <w:sz w:val="22"/>
        </w:rPr>
        <w:t xml:space="preserve">  销售课结课布置三条话术作业及答疑安排</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本章节主要布置了作业，要求按照 CPLA 步骤完成三条话术，分别针对客户说“太贵了”“能不能保提多少分，未达到怎么办”“不补课怎么可能提分”的情况进行回应，需模拟客户话语并完善改进话术。5 节销售课至此结束，下周一答疑课将点评作业并回复问题。</w:t>
            </w:r>
          </w:p>
        </w:tc>
      </w:tr>
    </w:tbl>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3" w:id="3"/>
      <w:r>
        <w:rPr>
          <w:rFonts w:eastAsia="等线" w:ascii="Arial" w:cs="Arial" w:hAnsi="Arial"/>
          <w:b w:val="true"/>
          <w:sz w:val="36"/>
        </w:rPr>
        <w:t>关键决策</w:t>
      </w:r>
      <w:bookmarkEnd w:id="3"/>
    </w:p>
    <w:p>
      <w:pPr>
        <w:numPr>
          <w:numId w:val="29"/>
        </w:numPr>
        <w:spacing w:before="120" w:after="120" w:line="288" w:lineRule="auto"/>
        <w:ind w:left="0"/>
        <w:jc w:val="left"/>
      </w:pPr>
      <w:r>
        <w:rPr>
          <w:rFonts w:eastAsia="等线" w:ascii="Arial" w:cs="Arial" w:hAnsi="Arial"/>
          <w:b w:val="true"/>
          <w:sz w:val="22"/>
        </w:rPr>
        <w:t>关键决策</w:t>
      </w:r>
      <w:r>
        <w:rPr>
          <w:rFonts w:eastAsia="等线" w:ascii="Arial" w:cs="Arial" w:hAnsi="Arial"/>
          <w:sz w:val="22"/>
        </w:rPr>
        <w:t>：销售异议处理需先辨别异议真假，再按 CPLA 步骤处理。</w:t>
      </w:r>
    </w:p>
    <w:p>
      <w:pPr>
        <w:numPr>
          <w:numId w:val="30"/>
        </w:numPr>
        <w:spacing w:before="120" w:after="120" w:line="288" w:lineRule="auto"/>
        <w:ind w:left="453"/>
        <w:jc w:val="left"/>
      </w:pPr>
      <w:r>
        <w:rPr>
          <w:rFonts w:eastAsia="等线" w:ascii="Arial" w:cs="Arial" w:hAnsi="Arial"/>
          <w:b w:val="true"/>
          <w:sz w:val="22"/>
        </w:rPr>
        <w:t>问题</w:t>
      </w:r>
      <w:r>
        <w:rPr>
          <w:rFonts w:eastAsia="等线" w:ascii="Arial" w:cs="Arial" w:hAnsi="Arial"/>
          <w:sz w:val="22"/>
        </w:rPr>
        <w:t>：如何有效处理销售过程中的客户异议。</w:t>
      </w:r>
    </w:p>
    <w:p>
      <w:pPr>
        <w:numPr>
          <w:numId w:val="31"/>
        </w:numPr>
        <w:spacing w:before="120" w:after="120" w:line="288" w:lineRule="auto"/>
        <w:ind w:left="453"/>
        <w:jc w:val="left"/>
      </w:pPr>
      <w:r>
        <w:rPr>
          <w:rFonts w:eastAsia="等线" w:ascii="Arial" w:cs="Arial" w:hAnsi="Arial"/>
          <w:b w:val="true"/>
          <w:sz w:val="22"/>
        </w:rPr>
        <w:t>讨论方案</w:t>
      </w:r>
      <w:r>
        <w:rPr>
          <w:rFonts w:eastAsia="等线" w:ascii="Arial" w:cs="Arial" w:hAnsi="Arial"/>
          <w:sz w:val="22"/>
        </w:rPr>
        <w:t>：</w:t>
      </w:r>
    </w:p>
    <w:p>
      <w:pPr>
        <w:numPr>
          <w:numId w:val="32"/>
        </w:numPr>
        <w:spacing w:before="120" w:after="120" w:line="288" w:lineRule="auto"/>
        <w:ind w:left="907"/>
        <w:jc w:val="left"/>
      </w:pPr>
      <w:r>
        <w:rPr>
          <w:rFonts w:eastAsia="等线" w:ascii="Arial" w:cs="Arial" w:hAnsi="Arial"/>
          <w:sz w:val="22"/>
        </w:rPr>
        <w:t>说话人 1 提出销售异议分为虚假异议、价格异议和效果异议三类。</w:t>
      </w:r>
    </w:p>
    <w:p>
      <w:pPr>
        <w:numPr>
          <w:numId w:val="33"/>
        </w:numPr>
        <w:spacing w:before="120" w:after="120" w:line="288" w:lineRule="auto"/>
        <w:ind w:left="907"/>
        <w:jc w:val="left"/>
      </w:pPr>
      <w:r>
        <w:rPr>
          <w:rFonts w:eastAsia="等线" w:ascii="Arial" w:cs="Arial" w:hAnsi="Arial"/>
          <w:sz w:val="22"/>
        </w:rPr>
        <w:t>辨别虚假异议的方法是通过提问，准备 12 个问题判断异议真假及找到真正异议。</w:t>
      </w:r>
    </w:p>
    <w:p>
      <w:pPr>
        <w:numPr>
          <w:numId w:val="34"/>
        </w:numPr>
        <w:spacing w:before="120" w:after="120" w:line="288" w:lineRule="auto"/>
        <w:ind w:left="907"/>
        <w:jc w:val="left"/>
      </w:pPr>
      <w:r>
        <w:rPr>
          <w:rFonts w:eastAsia="等线" w:ascii="Arial" w:cs="Arial" w:hAnsi="Arial"/>
          <w:sz w:val="22"/>
        </w:rPr>
        <w:t>处理真实异议按 CPLA 步骤，即缓冲、探寻、聆听、改进。缓冲要站在客户立场表示理解而非认同；探寻了解客户产生异议的原因；聆听寻找价值塑造不到位的方面；改进则重新塑造价值。</w:t>
      </w:r>
    </w:p>
    <w:p>
      <w:pPr>
        <w:numPr>
          <w:numId w:val="35"/>
        </w:numPr>
        <w:spacing w:before="120" w:after="120" w:line="288" w:lineRule="auto"/>
        <w:ind w:left="453"/>
        <w:jc w:val="left"/>
      </w:pPr>
      <w:r>
        <w:rPr>
          <w:rFonts w:eastAsia="等线" w:ascii="Arial" w:cs="Arial" w:hAnsi="Arial"/>
          <w:b w:val="true"/>
          <w:sz w:val="22"/>
        </w:rPr>
        <w:t>决策依据</w:t>
      </w:r>
      <w:r>
        <w:rPr>
          <w:rFonts w:eastAsia="等线" w:ascii="Arial" w:cs="Arial" w:hAnsi="Arial"/>
          <w:sz w:val="22"/>
        </w:rPr>
        <w:t>：所有真实异议的出现都是价值塑造不到位导致的，所以处理异议要围绕价值塑造进行。</w:t>
      </w:r>
    </w:p>
    <w:p>
      <w:pPr>
        <w:pBdr>
          <w:bottom w:val="single" w:color="dee0e3"/>
          <w:between w:val="single" w:color="dee0e3"/>
        </w:pBdr>
        <w:spacing w:before="120" w:after="120" w:line="288" w:lineRule="auto"/>
        <w:ind w:left="0"/>
      </w:pPr>
    </w:p>
    <w:p>
      <w:pPr>
        <w:numPr>
          <w:numId w:val="36"/>
        </w:numPr>
        <w:spacing w:before="120" w:after="120" w:line="288" w:lineRule="auto"/>
        <w:ind w:left="0"/>
        <w:jc w:val="left"/>
      </w:pPr>
      <w:r>
        <w:rPr>
          <w:rFonts w:eastAsia="等线" w:ascii="Arial" w:cs="Arial" w:hAnsi="Arial"/>
          <w:b w:val="true"/>
          <w:sz w:val="22"/>
        </w:rPr>
        <w:t>其他决策</w:t>
      </w:r>
      <w:r>
        <w:rPr>
          <w:rFonts w:eastAsia="等线" w:ascii="Arial" w:cs="Arial" w:hAnsi="Arial"/>
          <w:sz w:val="22"/>
        </w:rPr>
        <w:t>：</w:t>
      </w:r>
    </w:p>
    <w:p>
      <w:pPr>
        <w:numPr>
          <w:numId w:val="37"/>
        </w:numPr>
        <w:spacing w:before="120" w:after="120" w:line="288" w:lineRule="auto"/>
        <w:ind w:left="453"/>
        <w:jc w:val="left"/>
      </w:pPr>
      <w:r>
        <w:rPr>
          <w:rFonts w:eastAsia="等线" w:ascii="Arial" w:cs="Arial" w:hAnsi="Arial"/>
          <w:sz w:val="22"/>
        </w:rPr>
        <w:t>完成三个按 CPLA 步骤的话术作业，分别应对客户说“太贵了”“能不能保我提多少分”“不补课怎么可能提分”的情况，下周一答疑课老师会点评作业并回复问题。</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4" w:id="4"/>
      <w:r>
        <w:rPr>
          <w:rFonts w:eastAsia="等线" w:ascii="Arial" w:cs="Arial" w:hAnsi="Arial"/>
          <w:b w:val="true"/>
          <w:sz w:val="36"/>
        </w:rPr>
        <w:t>金句时刻</w:t>
      </w:r>
      <w:bookmarkEnd w:id="4"/>
    </w:p>
    <w:p>
      <w:pPr>
        <w:spacing w:before="120" w:after="120" w:line="288" w:lineRule="auto"/>
        <w:ind w:left="0"/>
        <w:jc w:val="left"/>
      </w:pPr>
      <w:r>
        <w:rPr>
          <w:rFonts w:eastAsia="等线" w:ascii="Arial" w:cs="Arial" w:hAnsi="Arial"/>
          <w:sz w:val="22"/>
        </w:rPr>
        <w:t>「所有真实异议的出现都是我们价值塑造不到位导致的，只要你的价值塑造到位，其实没有价格贵这一说，价格和价值是相对比的，一个哪怕穷到叮当响的人，未必不会刷信用卡去买一个 10 万块钱的东西，只要你塑造的价值是他想要的。」</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突出了价值塑造在销售中的核心作用，明确了真实异议与价值塑造的关系，对销售工作具有重要的指导意义。</w:t>
      </w:r>
    </w:p>
    <w:p>
      <w:pPr>
        <w:spacing w:before="120" w:after="120" w:line="288" w:lineRule="auto"/>
        <w:ind w:left="0"/>
        <w:jc w:val="left"/>
      </w:pPr>
    </w:p>
    <w:p>
      <w:pPr>
        <w:spacing w:before="120" w:after="120" w:line="288" w:lineRule="auto"/>
        <w:ind w:left="0"/>
        <w:jc w:val="left"/>
      </w:pPr>
      <w:r>
        <w:rPr>
          <w:rFonts w:eastAsia="等线" w:ascii="Arial" w:cs="Arial" w:hAnsi="Arial"/>
          <w:sz w:val="22"/>
        </w:rPr>
        <w:t>「处理客户异议时，第一步要缓冲，避免让沟通氛围成为对抗氛围，因为对抗氛围无法成交；第二步探寻客户产生销售异议的真实原因。」</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清晰阐述了处理客户异议的重要步骤，为销售处理异议提供了明确的方法和思路。</w:t>
      </w:r>
    </w:p>
    <w:p>
      <w:pPr>
        <w:spacing w:before="120" w:after="120" w:line="288" w:lineRule="auto"/>
        <w:ind w:left="0"/>
        <w:jc w:val="left"/>
      </w:pPr>
    </w:p>
    <w:p>
      <w:pPr>
        <w:spacing w:before="120" w:after="120" w:line="288" w:lineRule="auto"/>
        <w:ind w:left="0"/>
        <w:jc w:val="left"/>
      </w:pPr>
      <w:r>
        <w:rPr>
          <w:rFonts w:eastAsia="等线" w:ascii="Arial" w:cs="Arial" w:hAnsi="Arial"/>
          <w:sz w:val="22"/>
        </w:rPr>
        <w:t>「要坚信所有销售异议的出现一定是价值塑造没有到位导致的，处理异议要在价值塑造和销售六要素里挑出话术应对，而非一对一制定相关话术。」</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再次强调价值塑造的重要性，并说明了应对异议的话术策略，有助于销售提升处理异议的能力。</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5" w:id="5"/>
      <w:r>
        <w:rPr>
          <w:rFonts w:eastAsia="等线" w:ascii="Arial" w:cs="Arial" w:hAnsi="Arial"/>
          <w:b w:val="true"/>
          <w:sz w:val="36"/>
        </w:rPr>
        <w:t>相关链接</w:t>
      </w:r>
      <w:bookmarkEnd w:id="5"/>
    </w:p>
    <w:p>
      <w:pPr>
        <w:numPr>
          <w:numId w:val="38"/>
        </w:numPr>
        <w:spacing w:before="120" w:after="120" w:line="288" w:lineRule="auto"/>
        <w:ind w:left="0"/>
        <w:jc w:val="left"/>
      </w:pPr>
      <w:r>
        <w:rPr>
          <w:rFonts w:eastAsia="等线" w:ascii="Arial" w:cs="Arial" w:hAnsi="Arial"/>
          <w:sz w:val="22"/>
        </w:rPr>
        <w:t>妙记：</w:t>
      </w:r>
      <w:hyperlink r:id="rId19">
        <w:r>
          <w:rPr>
            <w:rFonts w:eastAsia="等线" w:ascii="Arial" w:cs="Arial" w:hAnsi="Arial"/>
            <w:color w:val="3370ff"/>
            <w:sz w:val="22"/>
          </w:rPr>
          <w:t>05-销售异议处理</w:t>
        </w:r>
      </w:hyperlink>
    </w:p>
    <w:p>
      <w:pPr>
        <w:numPr>
          <w:numId w:val="39"/>
        </w:numPr>
        <w:spacing w:before="120" w:after="120" w:line="288" w:lineRule="auto"/>
        <w:ind w:left="0"/>
        <w:jc w:val="left"/>
      </w:pPr>
      <w:r>
        <w:rPr>
          <w:rFonts w:eastAsia="等线" w:ascii="Arial" w:cs="Arial" w:hAnsi="Arial"/>
          <w:sz w:val="22"/>
        </w:rPr>
        <w:t>文字记录</w:t>
      </w:r>
    </w:p>
    <w:p>
      <w:pPr>
        <w:numPr>
          <w:numId w:val="40"/>
        </w:numPr>
        <w:spacing w:before="120" w:after="120" w:line="288" w:lineRule="auto"/>
        <w:ind w:left="453"/>
        <w:jc w:val="left"/>
      </w:pPr>
      <w:hyperlink r:id="rId20">
        <w:r>
          <w:rPr>
            <w:rFonts w:eastAsia="等线" w:ascii="Arial" w:cs="Arial" w:hAnsi="Arial"/>
            <w:color w:val="3370ff"/>
            <w:sz w:val="22"/>
          </w:rPr>
          <w:t>05-销售异议处理 2026年1月23日</w:t>
        </w:r>
      </w:hyperlink>
    </w:p>
    <w:sectPr>
      <w:footerReference w:type="default" r:id="rId3"/>
      <w:headerReference w:type="default" r:id="rId21"/>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93066">
    <w:lvl>
      <w:numFmt w:val="bullet"/>
      <w:suff w:val="tab"/>
      <w:lvlText w:val="•"/>
      <w:rPr>
        <w:color w:val="3370ff"/>
      </w:rPr>
    </w:lvl>
  </w:abstractNum>
  <w:abstractNum w:abstractNumId="93067">
    <w:lvl>
      <w:numFmt w:val="bullet"/>
      <w:suff w:val="tab"/>
      <w:lvlText w:val="•"/>
      <w:rPr>
        <w:color w:val="3370ff"/>
      </w:rPr>
    </w:lvl>
  </w:abstractNum>
  <w:abstractNum w:abstractNumId="93068">
    <w:lvl>
      <w:numFmt w:val="bullet"/>
      <w:suff w:val="tab"/>
      <w:lvlText w:val="￮"/>
      <w:rPr>
        <w:color w:val="3370ff"/>
      </w:rPr>
    </w:lvl>
  </w:abstractNum>
  <w:abstractNum w:abstractNumId="93069">
    <w:lvl>
      <w:numFmt w:val="bullet"/>
      <w:suff w:val="tab"/>
      <w:lvlText w:val="￮"/>
      <w:rPr>
        <w:color w:val="3370ff"/>
      </w:rPr>
    </w:lvl>
  </w:abstractNum>
  <w:abstractNum w:abstractNumId="93070">
    <w:lvl>
      <w:numFmt w:val="bullet"/>
      <w:suff w:val="tab"/>
      <w:lvlText w:val="￮"/>
      <w:rPr>
        <w:color w:val="3370ff"/>
      </w:rPr>
    </w:lvl>
  </w:abstractNum>
  <w:abstractNum w:abstractNumId="93071">
    <w:lvl>
      <w:numFmt w:val="bullet"/>
      <w:suff w:val="tab"/>
      <w:lvlText w:val="▪"/>
      <w:rPr>
        <w:color w:val="3370ff"/>
        <w:sz w:val="11"/>
      </w:rPr>
    </w:lvl>
  </w:abstractNum>
  <w:abstractNum w:abstractNumId="93072">
    <w:lvl>
      <w:numFmt w:val="bullet"/>
      <w:suff w:val="tab"/>
      <w:lvlText w:val="▪"/>
      <w:rPr>
        <w:color w:val="3370ff"/>
        <w:sz w:val="11"/>
      </w:rPr>
    </w:lvl>
  </w:abstractNum>
  <w:abstractNum w:abstractNumId="93073">
    <w:lvl>
      <w:numFmt w:val="bullet"/>
      <w:suff w:val="tab"/>
      <w:lvlText w:val="•"/>
      <w:rPr>
        <w:color w:val="3370ff"/>
      </w:rPr>
    </w:lvl>
  </w:abstractNum>
  <w:abstractNum w:abstractNumId="93074">
    <w:lvl>
      <w:numFmt w:val="bullet"/>
      <w:suff w:val="tab"/>
      <w:lvlText w:val="•"/>
      <w:rPr>
        <w:color w:val="3370ff"/>
      </w:rPr>
    </w:lvl>
  </w:abstractNum>
  <w:abstractNum w:abstractNumId="93075">
    <w:lvl>
      <w:numFmt w:val="bullet"/>
      <w:suff w:val="tab"/>
      <w:lvlText w:val="￮"/>
      <w:rPr>
        <w:color w:val="3370ff"/>
      </w:rPr>
    </w:lvl>
  </w:abstractNum>
  <w:abstractNum w:abstractNumId="93076">
    <w:lvl>
      <w:numFmt w:val="bullet"/>
      <w:suff w:val="tab"/>
      <w:lvlText w:val="￮"/>
      <w:rPr>
        <w:color w:val="3370ff"/>
      </w:rPr>
    </w:lvl>
  </w:abstractNum>
  <w:abstractNum w:abstractNumId="93077">
    <w:lvl>
      <w:numFmt w:val="bullet"/>
      <w:suff w:val="tab"/>
      <w:lvlText w:val="￮"/>
      <w:rPr>
        <w:color w:val="3370ff"/>
      </w:rPr>
    </w:lvl>
  </w:abstractNum>
  <w:abstractNum w:abstractNumId="93078">
    <w:lvl>
      <w:numFmt w:val="bullet"/>
      <w:suff w:val="tab"/>
      <w:lvlText w:val="￮"/>
      <w:rPr>
        <w:color w:val="3370ff"/>
      </w:rPr>
    </w:lvl>
  </w:abstractNum>
  <w:abstractNum w:abstractNumId="93079">
    <w:lvl>
      <w:numFmt w:val="bullet"/>
      <w:suff w:val="tab"/>
      <w:lvlText w:val="▪"/>
      <w:rPr>
        <w:color w:val="3370ff"/>
        <w:sz w:val="11"/>
      </w:rPr>
    </w:lvl>
  </w:abstractNum>
  <w:abstractNum w:abstractNumId="93080">
    <w:lvl>
      <w:numFmt w:val="bullet"/>
      <w:suff w:val="tab"/>
      <w:lvlText w:val="▪"/>
      <w:rPr>
        <w:color w:val="3370ff"/>
        <w:sz w:val="11"/>
      </w:rPr>
    </w:lvl>
  </w:abstractNum>
  <w:abstractNum w:abstractNumId="93081">
    <w:lvl>
      <w:numFmt w:val="bullet"/>
      <w:suff w:val="tab"/>
      <w:lvlText w:val="•"/>
      <w:rPr>
        <w:color w:val="3370ff"/>
      </w:rPr>
    </w:lvl>
  </w:abstractNum>
  <w:abstractNum w:abstractNumId="93082">
    <w:lvl>
      <w:numFmt w:val="bullet"/>
      <w:suff w:val="tab"/>
      <w:lvlText w:val="￮"/>
      <w:rPr>
        <w:color w:val="3370ff"/>
      </w:rPr>
    </w:lvl>
  </w:abstractNum>
  <w:abstractNum w:abstractNumId="93083">
    <w:lvl>
      <w:numFmt w:val="bullet"/>
      <w:suff w:val="tab"/>
      <w:lvlText w:val="▪"/>
      <w:rPr>
        <w:color w:val="3370ff"/>
        <w:sz w:val="11"/>
      </w:rPr>
    </w:lvl>
  </w:abstractNum>
  <w:abstractNum w:abstractNumId="93084">
    <w:lvl>
      <w:numFmt w:val="bullet"/>
      <w:suff w:val="tab"/>
      <w:lvlText w:val="▪"/>
      <w:rPr>
        <w:color w:val="3370ff"/>
        <w:sz w:val="11"/>
      </w:rPr>
    </w:lvl>
  </w:abstractNum>
  <w:abstractNum w:abstractNumId="93085">
    <w:lvl>
      <w:numFmt w:val="bullet"/>
      <w:suff w:val="tab"/>
      <w:lvlText w:val="￮"/>
      <w:rPr>
        <w:color w:val="3370ff"/>
      </w:rPr>
    </w:lvl>
  </w:abstractNum>
  <w:abstractNum w:abstractNumId="93086">
    <w:lvl>
      <w:numFmt w:val="bullet"/>
      <w:suff w:val="tab"/>
      <w:lvlText w:val="▪"/>
      <w:rPr>
        <w:color w:val="3370ff"/>
        <w:sz w:val="11"/>
      </w:rPr>
    </w:lvl>
  </w:abstractNum>
  <w:abstractNum w:abstractNumId="93087">
    <w:lvl>
      <w:numFmt w:val="bullet"/>
      <w:suff w:val="tab"/>
      <w:lvlText w:val="▪"/>
      <w:rPr>
        <w:color w:val="3370ff"/>
        <w:sz w:val="11"/>
      </w:rPr>
    </w:lvl>
  </w:abstractNum>
  <w:abstractNum w:abstractNumId="93088">
    <w:lvl>
      <w:numFmt w:val="bullet"/>
      <w:suff w:val="tab"/>
      <w:lvlText w:val="￮"/>
      <w:rPr>
        <w:color w:val="3370ff"/>
      </w:rPr>
    </w:lvl>
  </w:abstractNum>
  <w:abstractNum w:abstractNumId="93089">
    <w:lvl>
      <w:numFmt w:val="bullet"/>
      <w:suff w:val="tab"/>
      <w:lvlText w:val="￮"/>
      <w:rPr>
        <w:color w:val="3370ff"/>
      </w:rPr>
    </w:lvl>
  </w:abstractNum>
  <w:abstractNum w:abstractNumId="93090">
    <w:lvl>
      <w:numFmt w:val="bullet"/>
      <w:suff w:val="tab"/>
      <w:lvlText w:val="•"/>
      <w:rPr>
        <w:color w:val="3370ff"/>
      </w:rPr>
    </w:lvl>
  </w:abstractNum>
  <w:abstractNum w:abstractNumId="93091">
    <w:lvl>
      <w:numFmt w:val="bullet"/>
      <w:suff w:val="tab"/>
      <w:lvlText w:val="￮"/>
      <w:rPr>
        <w:color w:val="3370ff"/>
      </w:rPr>
    </w:lvl>
  </w:abstractNum>
  <w:abstractNum w:abstractNumId="93092">
    <w:lvl>
      <w:numFmt w:val="bullet"/>
      <w:suff w:val="tab"/>
      <w:lvlText w:val="￮"/>
      <w:rPr>
        <w:color w:val="3370ff"/>
      </w:rPr>
    </w:lvl>
  </w:abstractNum>
  <w:abstractNum w:abstractNumId="93093">
    <w:lvl>
      <w:numFmt w:val="bullet"/>
      <w:suff w:val="space"/>
      <w:lvlText w:val="□"/>
    </w:lvl>
  </w:abstractNum>
  <w:abstractNum w:abstractNumId="93094">
    <w:lvl>
      <w:numFmt w:val="bullet"/>
      <w:suff w:val="tab"/>
      <w:lvlText w:val="•"/>
      <w:rPr>
        <w:color w:val="3370ff"/>
      </w:rPr>
    </w:lvl>
  </w:abstractNum>
  <w:abstractNum w:abstractNumId="93095">
    <w:lvl>
      <w:numFmt w:val="bullet"/>
      <w:suff w:val="tab"/>
      <w:lvlText w:val="￮"/>
      <w:rPr>
        <w:color w:val="3370ff"/>
      </w:rPr>
    </w:lvl>
  </w:abstractNum>
  <w:abstractNum w:abstractNumId="93096">
    <w:lvl>
      <w:numFmt w:val="bullet"/>
      <w:suff w:val="tab"/>
      <w:lvlText w:val="￮"/>
      <w:rPr>
        <w:color w:val="3370ff"/>
      </w:rPr>
    </w:lvl>
  </w:abstractNum>
  <w:abstractNum w:abstractNumId="93097">
    <w:lvl>
      <w:numFmt w:val="bullet"/>
      <w:suff w:val="tab"/>
      <w:lvlText w:val="▪"/>
      <w:rPr>
        <w:color w:val="3370ff"/>
        <w:sz w:val="11"/>
      </w:rPr>
    </w:lvl>
  </w:abstractNum>
  <w:abstractNum w:abstractNumId="93098">
    <w:lvl>
      <w:numFmt w:val="bullet"/>
      <w:suff w:val="tab"/>
      <w:lvlText w:val="▪"/>
      <w:rPr>
        <w:color w:val="3370ff"/>
        <w:sz w:val="11"/>
      </w:rPr>
    </w:lvl>
  </w:abstractNum>
  <w:abstractNum w:abstractNumId="93099">
    <w:lvl>
      <w:numFmt w:val="bullet"/>
      <w:suff w:val="tab"/>
      <w:lvlText w:val="▪"/>
      <w:rPr>
        <w:color w:val="3370ff"/>
        <w:sz w:val="11"/>
      </w:rPr>
    </w:lvl>
  </w:abstractNum>
  <w:abstractNum w:abstractNumId="93100">
    <w:lvl>
      <w:numFmt w:val="bullet"/>
      <w:suff w:val="tab"/>
      <w:lvlText w:val="￮"/>
      <w:rPr>
        <w:color w:val="3370ff"/>
      </w:rPr>
    </w:lvl>
  </w:abstractNum>
  <w:abstractNum w:abstractNumId="93101">
    <w:lvl>
      <w:numFmt w:val="bullet"/>
      <w:suff w:val="tab"/>
      <w:lvlText w:val="•"/>
      <w:rPr>
        <w:color w:val="3370ff"/>
      </w:rPr>
    </w:lvl>
  </w:abstractNum>
  <w:abstractNum w:abstractNumId="93102">
    <w:lvl>
      <w:start w:val="1"/>
      <w:numFmt w:val="lowerLetter"/>
      <w:suff w:val="tab"/>
      <w:lvlText w:val="%1."/>
      <w:rPr>
        <w:color w:val="3370ff"/>
      </w:rPr>
    </w:lvl>
  </w:abstractNum>
  <w:abstractNum w:abstractNumId="93103">
    <w:lvl>
      <w:numFmt w:val="bullet"/>
      <w:suff w:val="tab"/>
      <w:lvlText w:val="•"/>
      <w:rPr>
        <w:color w:val="3370ff"/>
      </w:rPr>
    </w:lvl>
  </w:abstractNum>
  <w:abstractNum w:abstractNumId="93104">
    <w:lvl>
      <w:numFmt w:val="bullet"/>
      <w:suff w:val="tab"/>
      <w:lvlText w:val="•"/>
      <w:rPr>
        <w:color w:val="3370ff"/>
      </w:rPr>
    </w:lvl>
  </w:abstractNum>
  <w:abstractNum w:abstractNumId="93105">
    <w:lvl>
      <w:numFmt w:val="bullet"/>
      <w:suff w:val="tab"/>
      <w:lvlText w:val="￮"/>
      <w:rPr>
        <w:color w:val="3370ff"/>
      </w:rPr>
    </w:lvl>
  </w:abstractNum>
  <w:num w:numId="1">
    <w:abstractNumId w:val="93066"/>
  </w:num>
  <w:num w:numId="2">
    <w:abstractNumId w:val="93067"/>
  </w:num>
  <w:num w:numId="3">
    <w:abstractNumId w:val="93068"/>
  </w:num>
  <w:num w:numId="4">
    <w:abstractNumId w:val="93069"/>
  </w:num>
  <w:num w:numId="5">
    <w:abstractNumId w:val="93070"/>
  </w:num>
  <w:num w:numId="6">
    <w:abstractNumId w:val="93071"/>
  </w:num>
  <w:num w:numId="7">
    <w:abstractNumId w:val="93072"/>
  </w:num>
  <w:num w:numId="8">
    <w:abstractNumId w:val="93073"/>
  </w:num>
  <w:num w:numId="9">
    <w:abstractNumId w:val="93074"/>
  </w:num>
  <w:num w:numId="10">
    <w:abstractNumId w:val="93075"/>
  </w:num>
  <w:num w:numId="11">
    <w:abstractNumId w:val="93076"/>
  </w:num>
  <w:num w:numId="12">
    <w:abstractNumId w:val="93077"/>
  </w:num>
  <w:num w:numId="13">
    <w:abstractNumId w:val="93078"/>
  </w:num>
  <w:num w:numId="14">
    <w:abstractNumId w:val="93079"/>
  </w:num>
  <w:num w:numId="15">
    <w:abstractNumId w:val="93080"/>
  </w:num>
  <w:num w:numId="16">
    <w:abstractNumId w:val="93081"/>
  </w:num>
  <w:num w:numId="17">
    <w:abstractNumId w:val="93082"/>
  </w:num>
  <w:num w:numId="18">
    <w:abstractNumId w:val="93083"/>
  </w:num>
  <w:num w:numId="19">
    <w:abstractNumId w:val="93084"/>
  </w:num>
  <w:num w:numId="20">
    <w:abstractNumId w:val="93085"/>
  </w:num>
  <w:num w:numId="21">
    <w:abstractNumId w:val="93086"/>
  </w:num>
  <w:num w:numId="22">
    <w:abstractNumId w:val="93087"/>
  </w:num>
  <w:num w:numId="23">
    <w:abstractNumId w:val="93088"/>
  </w:num>
  <w:num w:numId="24">
    <w:abstractNumId w:val="93089"/>
  </w:num>
  <w:num w:numId="25">
    <w:abstractNumId w:val="93090"/>
  </w:num>
  <w:num w:numId="26">
    <w:abstractNumId w:val="93091"/>
  </w:num>
  <w:num w:numId="27">
    <w:abstractNumId w:val="93092"/>
  </w:num>
  <w:num w:numId="28">
    <w:abstractNumId w:val="93093"/>
  </w:num>
  <w:num w:numId="29">
    <w:abstractNumId w:val="93094"/>
  </w:num>
  <w:num w:numId="30">
    <w:abstractNumId w:val="93095"/>
  </w:num>
  <w:num w:numId="31">
    <w:abstractNumId w:val="93096"/>
  </w:num>
  <w:num w:numId="32">
    <w:abstractNumId w:val="93097"/>
  </w:num>
  <w:num w:numId="33">
    <w:abstractNumId w:val="93098"/>
  </w:num>
  <w:num w:numId="34">
    <w:abstractNumId w:val="93099"/>
  </w:num>
  <w:num w:numId="35">
    <w:abstractNumId w:val="93100"/>
  </w:num>
  <w:num w:numId="36">
    <w:abstractNumId w:val="93101"/>
  </w:num>
  <w:num w:numId="37">
    <w:abstractNumId w:val="93102"/>
  </w:num>
  <w:num w:numId="38">
    <w:abstractNumId w:val="93103"/>
  </w:num>
  <w:num w:numId="39">
    <w:abstractNumId w:val="93104"/>
  </w:num>
  <w:num w:numId="40">
    <w:abstractNumId w:val="9310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hcnytq72r1ge.feishu.cn/minutes/obcnfzj35omoq8391bfe38d7?t=119000" TargetMode="External" Type="http://schemas.openxmlformats.org/officeDocument/2006/relationships/hyperlink"/><Relationship Id="rId11" Target="https://hcnytq72r1ge.feishu.cn/minutes/obcnfzj35omoq8391bfe38d7?t=193000" TargetMode="External" Type="http://schemas.openxmlformats.org/officeDocument/2006/relationships/hyperlink"/><Relationship Id="rId12" Target="https://hcnytq72r1ge.feishu.cn/minutes/obcnfzj35omoq8391bfe38d7?t=284000" TargetMode="External" Type="http://schemas.openxmlformats.org/officeDocument/2006/relationships/hyperlink"/><Relationship Id="rId13" Target="https://hcnytq72r1ge.feishu.cn/minutes/obcnfzj35omoq8391bfe38d7?t=489000" TargetMode="External" Type="http://schemas.openxmlformats.org/officeDocument/2006/relationships/hyperlink"/><Relationship Id="rId14" Target="https://hcnytq72r1ge.feishu.cn/minutes/obcnfzj35omoq8391bfe38d7?t=626000" TargetMode="External" Type="http://schemas.openxmlformats.org/officeDocument/2006/relationships/hyperlink"/><Relationship Id="rId15" Target="https://hcnytq72r1ge.feishu.cn/minutes/obcnfzj35omoq8391bfe38d7?t=837000" TargetMode="External" Type="http://schemas.openxmlformats.org/officeDocument/2006/relationships/hyperlink"/><Relationship Id="rId16" Target="https://hcnytq72r1ge.feishu.cn/minutes/obcnfzj35omoq8391bfe38d7?t=980000" TargetMode="External" Type="http://schemas.openxmlformats.org/officeDocument/2006/relationships/hyperlink"/><Relationship Id="rId17" Target="https://hcnytq72r1ge.feishu.cn/minutes/obcnfzj35omoq8391bfe38d7?t=1042000" TargetMode="External" Type="http://schemas.openxmlformats.org/officeDocument/2006/relationships/hyperlink"/><Relationship Id="rId18" Target="https://hcnytq72r1ge.feishu.cn/minutes/obcnfzj35omoq8391bfe38d7?t=1128000" TargetMode="External" Type="http://schemas.openxmlformats.org/officeDocument/2006/relationships/hyperlink"/><Relationship Id="rId19" Target="https://hcnytq72r1ge.feishu.cn/minutes/obcnfzj35omoq8391bfe38d7?from=ai_minutes" TargetMode="External" Type="http://schemas.openxmlformats.org/officeDocument/2006/relationships/hyperlink"/><Relationship Id="rId2" Target="styles.xml" Type="http://schemas.openxmlformats.org/officeDocument/2006/relationships/styles"/><Relationship Id="rId20" Target="https://hcnytq72r1ge.feishu.cn/docx/TnVbdrVxEobNypxDa0kcukjGnwe" TargetMode="External" Type="http://schemas.openxmlformats.org/officeDocument/2006/relationships/hyperlink"/><Relationship Id="rId21" Target="header1.xml" Type="http://schemas.openxmlformats.org/officeDocument/2006/relationships/header"/><Relationship Id="rId3" Target="footer1.xml" Type="http://schemas.openxmlformats.org/officeDocument/2006/relationships/footer"/><Relationship Id="rId4" Target="media/image1.jpeg" Type="http://schemas.openxmlformats.org/officeDocument/2006/relationships/image"/><Relationship Id="rId5" Target="numbering.xml" Type="http://schemas.openxmlformats.org/officeDocument/2006/relationships/numbering"/><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https://hcnytq72r1ge.feishu.cn/minutes/obcnfzj35omoq8391bfe38d7?t=2000"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2026-01-27T06:44:28Z</dcterms:created>
  <dc:creator>Apache POI</dc:creator>
</cp:coreProperties>
</file>