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智能纪要：09-私域 - 1.朋友圈文案吃药模型 2026年1月23日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会议主题：09-私域 - 1.朋友圈文案吃药模型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上传时间：1月23号（周五） 09:49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62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本次会议由说话人 1 围绕私域运营课程展开，重点讲解朋友圈文案模块，阐述发朋友圈的策略和“吃药模型”，帮助大家掌握有效撰写和发布朋友圈的方法，以提升私域营销效果，内容如下：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私域运营课程模块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朋友圈文案</w:t>
      </w:r>
      <w:r>
        <w:rPr>
          <w:rFonts w:eastAsia="等线" w:ascii="Arial" w:cs="Arial" w:hAnsi="Arial"/>
          <w:sz w:val="22"/>
        </w:rPr>
        <w:t>：介绍朋友圈文案在私域营销中的重要性及常见错误，后续会详细讲解撰写和发布策略。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155 黄金人脉圈</w:t>
      </w:r>
      <w:r>
        <w:rPr>
          <w:rFonts w:eastAsia="等线" w:ascii="Arial" w:cs="Arial" w:hAnsi="Arial"/>
          <w:sz w:val="22"/>
        </w:rPr>
        <w:t>：分享来自微商或美国著名直销组织的经典客户管理模型。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视频号引流</w:t>
      </w:r>
      <w:r>
        <w:rPr>
          <w:rFonts w:eastAsia="等线" w:ascii="Arial" w:cs="Arial" w:hAnsi="Arial"/>
          <w:sz w:val="22"/>
        </w:rPr>
        <w:t>：讲解视频号除直播外的其他引流方式。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多米诺发售</w:t>
      </w:r>
      <w:r>
        <w:rPr>
          <w:rFonts w:eastAsia="等线" w:ascii="Arial" w:cs="Arial" w:hAnsi="Arial"/>
          <w:sz w:val="22"/>
        </w:rPr>
        <w:t>：说明如何基于现有客户在私域开展大型发售活动。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朋友圈文案策略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发圈目的</w:t>
      </w:r>
      <w:r>
        <w:rPr>
          <w:rFonts w:eastAsia="等线" w:ascii="Arial" w:cs="Arial" w:hAnsi="Arial"/>
          <w:sz w:val="22"/>
        </w:rPr>
        <w:t>：说话人 1 指出，很多人发朋友圈未达预期效果，是因为朋友圈存活时间短，未被看到。发朋友圈做策略时，首要任务是确保被看到。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避免被折叠的方法</w:t>
      </w:r>
    </w:p>
    <w:tbl>
      <w:tblPr>
        <w:tblW w:w="0" w:type="auto"/>
        <w:tblInd w:w="907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99"/>
        <w:gridCol w:w="2980"/>
      </w:tblGrid>
      <w:tr>
        <w:tc>
          <w:tcPr>
            <w:tcW w:w="529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多准备配图：相同图片和文案反复刷易被折叠，应多准备配图，且不能仅换底色。如卖测评准备了十几张图，增加配图多样性可降低被折叠概率。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控制营销敏感词和二维码图片：带二维码的图反复刷、文案含营销敏感词易被折叠。一轮朋友圈中，带二维码图片不超三次，少用“客户下单”“购买”等营销意味强的词。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增加真人出镜：长期无真人出镜、只发产品图和海报图易被折叠，应多发日常、自己或咨询师的照片，让朋友圈不像广告机。</w:t>
            </w:r>
          </w:p>
        </w:tc>
        <w:tc>
          <w:tcPr>
            <w:tcW w:w="2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33550" cy="119062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朋友圈避免被折叠的方法</w:t>
              <w:br/>
            </w:r>
          </w:p>
        </w:tc>
      </w:tr>
    </w:tbl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分批发布营销活动朋友圈：多个账号同时发一样的图片和文案易被折叠，营销活动时要分批发布，具体分批方式在多米诺发售课程讲解。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拉长存活时间的方法</w:t>
      </w:r>
      <w:r>
        <w:rPr>
          <w:rFonts w:eastAsia="等线" w:ascii="Arial" w:cs="Arial" w:hAnsi="Arial"/>
          <w:sz w:val="22"/>
        </w:rPr>
        <w:t>：一次性发 6 - 10 条（非营销专业人士 4 - 6 条也可），反复发 3 次，每次删掉前一批再发。如写 10 条朋友圈反复发三次，相当于发 30 条，可使朋友圈存活时间变为原本的 3 倍，以较低产出量达到较高收获量。可选择中午、晚上六七点、睡觉前 9 点多 10 点各发一次。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朋友圈“吃药模型”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模型结构</w:t>
      </w:r>
    </w:p>
    <w:p>
      <w:pPr>
        <w:numPr>
          <w:numId w:val="1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你有病（痛点、需求点、爽点）：通过案例或故事引出客户的痛点、需求点或爽点，引发兴趣和疑问。如以“为什么刷了多少题都提不了分”为例，用“两年刷了上千套卷子，花了 8 万，居然还是原厂设置”的案例导入。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我有药（产品详情、卖点、买点）：介绍产品的详情、卖点以及客户的买点，说明产品能解决的问题。如指出孩子学习力构成复杂，刷题只能解决 5%的因子，抛出 8 个模块、248 项检测、512 个因子的解决方案，并进一步说明能解决的具体问题，如判断孩子是否阻挡学霸之路、孩子的学霸类型、优势科目以及离 985 的距离等。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药的效果特别好（证据闭环、大众好评）：提供证据闭环，证明产品效果好，包括科学依据、大众好评、从众心理等。如介绍 AI 稻 AI MECE 学习力测评，称其能剖析孩子 512 个维度学习力因子，是科学算命系统，并列举算过的人都说准等大众好评。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你也赶紧来吃（行动号召）：通过行动号召、价值拉升、煽动情绪等方式引导客户行动。如限制每天接受 5 个学生，强调花 980 做全面体检可省几万块，煽动客户情绪，号召客户私信咨询。</w:t>
      </w:r>
    </w:p>
    <w:p>
      <w:pPr>
        <w:spacing w:before="120" w:after="120" w:line="288" w:lineRule="auto"/>
        <w:ind w:left="907"/>
        <w:jc w:val="center"/>
      </w:pPr>
      <w:r>
        <w:drawing>
          <wp:inline distT="0" distR="0" distB="0" distL="0">
            <wp:extent cx="5257800" cy="1400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907"/>
        <w:jc w:val="center"/>
      </w:pPr>
      <w:r>
        <w:rPr>
          <w:rFonts w:eastAsia="等线" w:ascii="Arial" w:cs="Arial" w:hAnsi="Arial"/>
          <w:color w:val="8F959E"/>
          <w:sz w:val="22"/>
        </w:rPr>
        <w:t>朋友圈“吃药模型”实施步骤</w:t>
        <w:br/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模型优势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降低创作难度：基于一个案例、一个素材可产出多条朋友圈，降低创作难度。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提升可看性：避免朋友圈像冰冷的广告，以连载故事形式呈现，让客户逐一看下来，提升可看性。通过时间沉淀，洗刷客户认知，最终促使客户买单。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00:00</w:t>
        </w:r>
      </w:hyperlink>
      <w:r>
        <w:rPr>
          <w:rFonts w:eastAsia="等线" w:ascii="Arial" w:cs="Arial" w:hAnsi="Arial"/>
          <w:b w:val="true"/>
          <w:sz w:val="22"/>
        </w:rPr>
        <w:t xml:space="preserve">  私域运营四大模块课程内容及朋友圈文案模型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私域运营四大模块课程，包括第一课讲朋友圈文案常见错误及“吃药模型”，第二课分享155黄金人脉圈客户管理模型，第三课讲视频号引流方法，最后一课是基于原有客户在私域做大型发售的多米诺发售。课程从朋友圈文案入手，逐步展开各模块内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01:44</w:t>
        </w:r>
      </w:hyperlink>
      <w:r>
        <w:rPr>
          <w:rFonts w:eastAsia="等线" w:ascii="Arial" w:cs="Arial" w:hAnsi="Arial"/>
          <w:b w:val="true"/>
          <w:sz w:val="22"/>
        </w:rPr>
        <w:t xml:space="preserve">  发朋友圈首要目的是提高内容被看到率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发朋友圈的目的，很多人认为发朋友圈是为做广告。但做广告第一步是被人看到，当下朋友圈存活时间短，很多内容难以被看到。研究朋友圈文案不能只关注写法，首先要让内容被看到，否则再好的文案也无用。发朋友圈做策略时，首要任务就是确保能被人看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03:26</w:t>
        </w:r>
      </w:hyperlink>
      <w:r>
        <w:rPr>
          <w:rFonts w:eastAsia="等线" w:ascii="Arial" w:cs="Arial" w:hAnsi="Arial"/>
          <w:b w:val="true"/>
          <w:sz w:val="22"/>
        </w:rPr>
        <w:t xml:space="preserve">  朋友圈不被折叠的要点及存活时间问题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让朋友圈不被折叠的四个要点：一是避免反复发相同图片和文案，多准备配图；二是一轮朋友圈中带二维码图片不超三次，少用营销敏感词；三是多发有真人出镜的日常照片；四是营销活动时多个账号分批发布朋友圈。做到这些可提升不被折叠概率，还提及朋友圈存活时间问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08:20</w:t>
        </w:r>
      </w:hyperlink>
      <w:r>
        <w:rPr>
          <w:rFonts w:eastAsia="等线" w:ascii="Arial" w:cs="Arial" w:hAnsi="Arial"/>
          <w:b w:val="true"/>
          <w:sz w:val="22"/>
        </w:rPr>
        <w:t xml:space="preserve">  咨询师拉长朋友圈存活时间的发圈方法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聚焦朋友圈营销，说话人指出一批朋友圈存活时间仅1小时，高效阅读时间15分钟，真正有效的朋友圈一天四五条即可。建议非营销专业人士一次性发4 - 6条，反复发3次，每次删掉前一批重新发，如写10条反复发三次等于30条，可拉长存活时间，提高曝光，让更多人看到并找到自己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11:42</w:t>
        </w:r>
      </w:hyperlink>
      <w:r>
        <w:rPr>
          <w:rFonts w:eastAsia="等线" w:ascii="Arial" w:cs="Arial" w:hAnsi="Arial"/>
          <w:b w:val="true"/>
          <w:sz w:val="22"/>
        </w:rPr>
        <w:t xml:space="preserve">  朋友圈“吃药模型”打造及内容步骤介绍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让朋友圈吸引别人的“吃药模型”，包含四个步骤：先指出对方痛点、需求点，即“你有病”；接着介绍产品详情、卖点和客户买点，即“我有药”；再说明药效果好，给出证据闭环、大众好评等；最后结尾用行动号召等方法，如“你也赶紧来吃”。一套模型至少 4 - 6 条朋友圈，基于一个案例可产出多条。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14:45</w:t>
        </w:r>
      </w:hyperlink>
      <w:r>
        <w:rPr>
          <w:rFonts w:eastAsia="等线" w:ascii="Arial" w:cs="Arial" w:hAnsi="Arial"/>
          <w:b w:val="true"/>
          <w:sz w:val="22"/>
        </w:rPr>
        <w:t xml:space="preserve">  朋友圈卖货“吃药模型”闭环案例讲解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朋友圈卖货的“吃药模型”闭环。先抛出“你有病”，即痛点引发兴趣；接着展示“我有药”，说明产品能解决的问题；然后强调“药的效果特别好”，做证据闭环和客户见证；最后进行“行动号召”。避免一条朋友圈打广告，应多条朋友圈各打一点，细水长流，沉淀认知促成交易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：采用“吃药模型”和特定发圈方式进行朋友圈营销。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：如何提高朋友圈营销效果，解决朋友圈文案易被折叠、存活时间短、难以吸引客户等问题。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“吃药模型”，包括“你有病（痛点、爽点、需求点）、我有药（产品详情、卖点、买点）、药的效果特别好（证据闭环、大众好评、从众心理）、你也赶紧来吃（行动号召、价值拉升、煽动情绪）”四个步骤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说话人1提出正确的发圈方式，一次性发 4 - 10 条朋友圈，然后反复发 3 次，每次删除前一批再发，以拉长朋友圈存活时间。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说话人1提出避免朋友圈被折叠的四个要点：多准备配图、控制带二维码图片发布次数和减少营销敏感词、多发有真人出镜的内容、营销活动时分批发布朋友圈。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：当前朋友圈营销存在文案易被折叠、存活时间短、客户反感广告等问题，通过实践和与腾讯内部人员交流得出上述方案，可提高朋友圈被看到的概率和营销效果。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「我们发朋友圈，首先要被人看到，才能吸引到客户，就像再好的广告创意没有投放预算也无法发挥作用。」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突出了朋友圈营销中被看到的重要性，以广告创意和投放预算作类比，形象易懂，引发对朋友圈营销策略的思考。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「完整的朋友圈营销应遵循‘你有病，我有药，效果特别好，你也赶快来吃’的吃药模型，逐步引导客户。」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明确了朋友圈营销的核心模型，为朋友圈文案创作提供了清晰的思路和框架。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「朋友圈讲究细水长流，靠时间沉淀和不断洗刷别人的认知，最终促成客户买单。」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强调了朋友圈营销的特点和方式，纠正了期望一条朋友圈卖货的错误观念，引发对朋友圈营销节奏的思考。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4">
        <w:r>
          <w:rPr>
            <w:rFonts w:eastAsia="等线" w:ascii="Arial" w:cs="Arial" w:hAnsi="Arial"/>
            <w:color w:val="3370ff"/>
            <w:sz w:val="22"/>
          </w:rPr>
          <w:t>09-私域 - 1.朋友圈文案吃药模型</w:t>
        </w:r>
      </w:hyperlink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09-私域 - 1.朋友圈文案吃药模型 2026年1月23日</w:t>
        </w:r>
      </w:hyperlink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803">
    <w:lvl>
      <w:numFmt w:val="bullet"/>
      <w:suff w:val="tab"/>
      <w:lvlText w:val="•"/>
      <w:rPr>
        <w:color w:val="3370ff"/>
      </w:rPr>
    </w:lvl>
  </w:abstractNum>
  <w:abstractNum w:abstractNumId="30804">
    <w:lvl>
      <w:numFmt w:val="bullet"/>
      <w:suff w:val="tab"/>
      <w:lvlText w:val="￮"/>
      <w:rPr>
        <w:color w:val="3370ff"/>
      </w:rPr>
    </w:lvl>
  </w:abstractNum>
  <w:abstractNum w:abstractNumId="30805">
    <w:lvl>
      <w:numFmt w:val="bullet"/>
      <w:suff w:val="tab"/>
      <w:lvlText w:val="￮"/>
      <w:rPr>
        <w:color w:val="3370ff"/>
      </w:rPr>
    </w:lvl>
  </w:abstractNum>
  <w:abstractNum w:abstractNumId="30806">
    <w:lvl>
      <w:numFmt w:val="bullet"/>
      <w:suff w:val="tab"/>
      <w:lvlText w:val="￮"/>
      <w:rPr>
        <w:color w:val="3370ff"/>
      </w:rPr>
    </w:lvl>
  </w:abstractNum>
  <w:abstractNum w:abstractNumId="30807">
    <w:lvl>
      <w:numFmt w:val="bullet"/>
      <w:suff w:val="tab"/>
      <w:lvlText w:val="￮"/>
      <w:rPr>
        <w:color w:val="3370ff"/>
      </w:rPr>
    </w:lvl>
  </w:abstractNum>
  <w:abstractNum w:abstractNumId="30808">
    <w:lvl>
      <w:numFmt w:val="bullet"/>
      <w:suff w:val="tab"/>
      <w:lvlText w:val="•"/>
      <w:rPr>
        <w:color w:val="3370ff"/>
      </w:rPr>
    </w:lvl>
  </w:abstractNum>
  <w:abstractNum w:abstractNumId="30809">
    <w:lvl>
      <w:numFmt w:val="bullet"/>
      <w:suff w:val="tab"/>
      <w:lvlText w:val="￮"/>
      <w:rPr>
        <w:color w:val="3370ff"/>
      </w:rPr>
    </w:lvl>
  </w:abstractNum>
  <w:abstractNum w:abstractNumId="30810">
    <w:lvl>
      <w:numFmt w:val="bullet"/>
      <w:suff w:val="tab"/>
      <w:lvlText w:val="￮"/>
      <w:rPr>
        <w:color w:val="3370ff"/>
      </w:rPr>
    </w:lvl>
  </w:abstractNum>
  <w:abstractNum w:abstractNumId="30811">
    <w:lvl>
      <w:numFmt w:val="bullet"/>
      <w:suff w:val="tab"/>
      <w:lvlText w:val="•"/>
      <w:rPr>
        <w:color w:val="3370ff"/>
      </w:rPr>
    </w:lvl>
  </w:abstractNum>
  <w:abstractNum w:abstractNumId="30812">
    <w:lvl>
      <w:numFmt w:val="bullet"/>
      <w:suff w:val="tab"/>
      <w:lvlText w:val="•"/>
      <w:rPr>
        <w:color w:val="3370ff"/>
      </w:rPr>
    </w:lvl>
  </w:abstractNum>
  <w:abstractNum w:abstractNumId="30813">
    <w:lvl>
      <w:numFmt w:val="bullet"/>
      <w:suff w:val="tab"/>
      <w:lvlText w:val="•"/>
      <w:rPr>
        <w:color w:val="3370ff"/>
      </w:rPr>
    </w:lvl>
  </w:abstractNum>
  <w:abstractNum w:abstractNumId="30814">
    <w:lvl>
      <w:numFmt w:val="bullet"/>
      <w:suff w:val="tab"/>
      <w:lvlText w:val="▪"/>
      <w:rPr>
        <w:color w:val="3370ff"/>
        <w:sz w:val="11"/>
      </w:rPr>
    </w:lvl>
  </w:abstractNum>
  <w:abstractNum w:abstractNumId="30815">
    <w:lvl>
      <w:numFmt w:val="bullet"/>
      <w:suff w:val="tab"/>
      <w:lvlText w:val="￮"/>
      <w:rPr>
        <w:color w:val="3370ff"/>
      </w:rPr>
    </w:lvl>
  </w:abstractNum>
  <w:abstractNum w:abstractNumId="30816">
    <w:lvl>
      <w:numFmt w:val="bullet"/>
      <w:suff w:val="tab"/>
      <w:lvlText w:val="•"/>
      <w:rPr>
        <w:color w:val="3370ff"/>
      </w:rPr>
    </w:lvl>
  </w:abstractNum>
  <w:abstractNum w:abstractNumId="30817">
    <w:lvl>
      <w:numFmt w:val="bullet"/>
      <w:suff w:val="tab"/>
      <w:lvlText w:val="￮"/>
      <w:rPr>
        <w:color w:val="3370ff"/>
      </w:rPr>
    </w:lvl>
  </w:abstractNum>
  <w:abstractNum w:abstractNumId="30818">
    <w:lvl>
      <w:numFmt w:val="bullet"/>
      <w:suff w:val="tab"/>
      <w:lvlText w:val="▪"/>
      <w:rPr>
        <w:color w:val="3370ff"/>
        <w:sz w:val="11"/>
      </w:rPr>
    </w:lvl>
  </w:abstractNum>
  <w:abstractNum w:abstractNumId="30819">
    <w:lvl>
      <w:numFmt w:val="bullet"/>
      <w:suff w:val="tab"/>
      <w:lvlText w:val="▪"/>
      <w:rPr>
        <w:color w:val="3370ff"/>
        <w:sz w:val="11"/>
      </w:rPr>
    </w:lvl>
  </w:abstractNum>
  <w:abstractNum w:abstractNumId="30820">
    <w:lvl>
      <w:numFmt w:val="bullet"/>
      <w:suff w:val="tab"/>
      <w:lvlText w:val="▪"/>
      <w:rPr>
        <w:color w:val="3370ff"/>
        <w:sz w:val="11"/>
      </w:rPr>
    </w:lvl>
  </w:abstractNum>
  <w:abstractNum w:abstractNumId="30821">
    <w:lvl>
      <w:numFmt w:val="bullet"/>
      <w:suff w:val="tab"/>
      <w:lvlText w:val="▪"/>
      <w:rPr>
        <w:color w:val="3370ff"/>
        <w:sz w:val="11"/>
      </w:rPr>
    </w:lvl>
  </w:abstractNum>
  <w:abstractNum w:abstractNumId="30822">
    <w:lvl>
      <w:numFmt w:val="bullet"/>
      <w:suff w:val="tab"/>
      <w:lvlText w:val="￮"/>
      <w:rPr>
        <w:color w:val="3370ff"/>
      </w:rPr>
    </w:lvl>
  </w:abstractNum>
  <w:abstractNum w:abstractNumId="30823">
    <w:lvl>
      <w:numFmt w:val="bullet"/>
      <w:suff w:val="tab"/>
      <w:lvlText w:val="▪"/>
      <w:rPr>
        <w:color w:val="3370ff"/>
        <w:sz w:val="11"/>
      </w:rPr>
    </w:lvl>
  </w:abstractNum>
  <w:abstractNum w:abstractNumId="30824">
    <w:lvl>
      <w:numFmt w:val="bullet"/>
      <w:suff w:val="tab"/>
      <w:lvlText w:val="▪"/>
      <w:rPr>
        <w:color w:val="3370ff"/>
        <w:sz w:val="11"/>
      </w:rPr>
    </w:lvl>
  </w:abstractNum>
  <w:abstractNum w:abstractNumId="30825">
    <w:lvl>
      <w:numFmt w:val="bullet"/>
      <w:suff w:val="tab"/>
      <w:lvlText w:val="•"/>
      <w:rPr>
        <w:color w:val="3370ff"/>
      </w:rPr>
    </w:lvl>
  </w:abstractNum>
  <w:abstractNum w:abstractNumId="30826">
    <w:lvl>
      <w:numFmt w:val="bullet"/>
      <w:suff w:val="tab"/>
      <w:lvlText w:val="￮"/>
      <w:rPr>
        <w:color w:val="3370ff"/>
      </w:rPr>
    </w:lvl>
  </w:abstractNum>
  <w:abstractNum w:abstractNumId="30827">
    <w:lvl>
      <w:numFmt w:val="bullet"/>
      <w:suff w:val="tab"/>
      <w:lvlText w:val="￮"/>
      <w:rPr>
        <w:color w:val="3370ff"/>
      </w:rPr>
    </w:lvl>
  </w:abstractNum>
  <w:abstractNum w:abstractNumId="30828">
    <w:lvl>
      <w:numFmt w:val="bullet"/>
      <w:suff w:val="tab"/>
      <w:lvlText w:val="▪"/>
      <w:rPr>
        <w:color w:val="3370ff"/>
        <w:sz w:val="11"/>
      </w:rPr>
    </w:lvl>
  </w:abstractNum>
  <w:abstractNum w:abstractNumId="30829">
    <w:lvl>
      <w:numFmt w:val="bullet"/>
      <w:suff w:val="tab"/>
      <w:lvlText w:val="▪"/>
      <w:rPr>
        <w:color w:val="3370ff"/>
        <w:sz w:val="11"/>
      </w:rPr>
    </w:lvl>
  </w:abstractNum>
  <w:abstractNum w:abstractNumId="30830">
    <w:lvl>
      <w:numFmt w:val="bullet"/>
      <w:suff w:val="tab"/>
      <w:lvlText w:val="▪"/>
      <w:rPr>
        <w:color w:val="3370ff"/>
        <w:sz w:val="11"/>
      </w:rPr>
    </w:lvl>
  </w:abstractNum>
  <w:abstractNum w:abstractNumId="30831">
    <w:lvl>
      <w:numFmt w:val="bullet"/>
      <w:suff w:val="tab"/>
      <w:lvlText w:val="￮"/>
      <w:rPr>
        <w:color w:val="3370ff"/>
      </w:rPr>
    </w:lvl>
  </w:abstractNum>
  <w:abstractNum w:abstractNumId="30832">
    <w:lvl>
      <w:numFmt w:val="bullet"/>
      <w:suff w:val="tab"/>
      <w:lvlText w:val="•"/>
      <w:rPr>
        <w:color w:val="3370ff"/>
      </w:rPr>
    </w:lvl>
  </w:abstractNum>
  <w:abstractNum w:abstractNumId="30833">
    <w:lvl>
      <w:numFmt w:val="bullet"/>
      <w:suff w:val="tab"/>
      <w:lvlText w:val="•"/>
      <w:rPr>
        <w:color w:val="3370ff"/>
      </w:rPr>
    </w:lvl>
  </w:abstractNum>
  <w:abstractNum w:abstractNumId="30834">
    <w:lvl>
      <w:numFmt w:val="bullet"/>
      <w:suff w:val="tab"/>
      <w:lvlText w:val="￮"/>
      <w:rPr>
        <w:color w:val="3370ff"/>
      </w:rPr>
    </w:lvl>
  </w:abstractNum>
  <w:num w:numId="1">
    <w:abstractNumId w:val="30803"/>
  </w:num>
  <w:num w:numId="2">
    <w:abstractNumId w:val="30804"/>
  </w:num>
  <w:num w:numId="3">
    <w:abstractNumId w:val="30805"/>
  </w:num>
  <w:num w:numId="4">
    <w:abstractNumId w:val="30806"/>
  </w:num>
  <w:num w:numId="5">
    <w:abstractNumId w:val="30807"/>
  </w:num>
  <w:num w:numId="6">
    <w:abstractNumId w:val="30808"/>
  </w:num>
  <w:num w:numId="7">
    <w:abstractNumId w:val="30809"/>
  </w:num>
  <w:num w:numId="8">
    <w:abstractNumId w:val="30810"/>
  </w:num>
  <w:num w:numId="9">
    <w:abstractNumId w:val="30811"/>
  </w:num>
  <w:num w:numId="10">
    <w:abstractNumId w:val="30812"/>
  </w:num>
  <w:num w:numId="11">
    <w:abstractNumId w:val="30813"/>
  </w:num>
  <w:num w:numId="12">
    <w:abstractNumId w:val="30814"/>
  </w:num>
  <w:num w:numId="13">
    <w:abstractNumId w:val="30815"/>
  </w:num>
  <w:num w:numId="14">
    <w:abstractNumId w:val="30816"/>
  </w:num>
  <w:num w:numId="15">
    <w:abstractNumId w:val="30817"/>
  </w:num>
  <w:num w:numId="16">
    <w:abstractNumId w:val="30818"/>
  </w:num>
  <w:num w:numId="17">
    <w:abstractNumId w:val="30819"/>
  </w:num>
  <w:num w:numId="18">
    <w:abstractNumId w:val="30820"/>
  </w:num>
  <w:num w:numId="19">
    <w:abstractNumId w:val="30821"/>
  </w:num>
  <w:num w:numId="20">
    <w:abstractNumId w:val="30822"/>
  </w:num>
  <w:num w:numId="21">
    <w:abstractNumId w:val="30823"/>
  </w:num>
  <w:num w:numId="22">
    <w:abstractNumId w:val="30824"/>
  </w:num>
  <w:num w:numId="23">
    <w:abstractNumId w:val="30825"/>
  </w:num>
  <w:num w:numId="24">
    <w:abstractNumId w:val="30826"/>
  </w:num>
  <w:num w:numId="25">
    <w:abstractNumId w:val="30827"/>
  </w:num>
  <w:num w:numId="26">
    <w:abstractNumId w:val="30828"/>
  </w:num>
  <w:num w:numId="27">
    <w:abstractNumId w:val="30829"/>
  </w:num>
  <w:num w:numId="28">
    <w:abstractNumId w:val="30830"/>
  </w:num>
  <w:num w:numId="29">
    <w:abstractNumId w:val="30831"/>
  </w:num>
  <w:num w:numId="30">
    <w:abstractNumId w:val="30832"/>
  </w:num>
  <w:num w:numId="31">
    <w:abstractNumId w:val="30833"/>
  </w:num>
  <w:num w:numId="32">
    <w:abstractNumId w:val="3083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zc843jck45ku3a6p921?t=206000" TargetMode="External" Type="http://schemas.openxmlformats.org/officeDocument/2006/relationships/hyperlink"/><Relationship Id="rId11" Target="https://hcnytq72r1ge.feishu.cn/minutes/obcnfzc843jck45ku3a6p921?t=500000" TargetMode="External" Type="http://schemas.openxmlformats.org/officeDocument/2006/relationships/hyperlink"/><Relationship Id="rId12" Target="https://hcnytq72r1ge.feishu.cn/minutes/obcnfzc843jck45ku3a6p921?t=702000" TargetMode="External" Type="http://schemas.openxmlformats.org/officeDocument/2006/relationships/hyperlink"/><Relationship Id="rId13" Target="https://hcnytq72r1ge.feishu.cn/minutes/obcnfzc843jck45ku3a6p921?t=885000" TargetMode="External" Type="http://schemas.openxmlformats.org/officeDocument/2006/relationships/hyperlink"/><Relationship Id="rId14" Target="https://hcnytq72r1ge.feishu.cn/minutes/obcnfzc843jck45ku3a6p921?from=ai_minutes" TargetMode="External" Type="http://schemas.openxmlformats.org/officeDocument/2006/relationships/hyperlink"/><Relationship Id="rId15" Target="https://hcnytq72r1ge.feishu.cn/docx/EDSNdYpiwoG733x6orcc8fhwnSh" TargetMode="External" Type="http://schemas.openxmlformats.org/officeDocument/2006/relationships/hyperlink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zc843jck45ku3a6p921?t=0" TargetMode="External" Type="http://schemas.openxmlformats.org/officeDocument/2006/relationships/hyperlink"/><Relationship Id="rId9" Target="https://hcnytq72r1ge.feishu.cn/minutes/obcnfzc843jck45ku3a6p921?t=10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2026-01-27T06:54:08Z</dcterms:created>
  <dc:creator>Apache POI</dc:creator>
</cp:coreProperties>
</file>