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智能纪要：10-私域 - 2. 客户分层管理原则 2026年1月23日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会议主题：10-私域 - 2. 客户分层管理原则</w:t>
            </w:r>
          </w:p>
          <w:p>
            <w:pPr>
              <w:spacing w:before="120" w:after="120" w:line="288" w:lineRule="auto"/>
              <w:ind w:left="0"/>
              <w:jc w:val="left"/>
            </w:pPr>
            <w:r>
              <w:rPr>
                <w:rFonts w:eastAsia="等线" w:ascii="Arial" w:cs="Arial" w:hAnsi="Arial"/>
                <w:color w:val="646a73"/>
                <w:sz w:val="22"/>
              </w:rPr>
              <w:t>上传时间：1月23号（周五） 09:50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362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62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本次会议围绕客户分层管理原则展开，重点介绍了 155 黄金人脉圈理论，阐述了该理论中不同层次客户的构成、筛查方法以及经营维护的要点，强调情绪价值和物质价值双重绑定对客户管理的重要性，内容如下：</w:t>
      </w:r>
    </w:p>
    <w:p>
      <w:pPr>
        <w:numPr>
          <w:numId w:val="1"/>
        </w:numPr>
        <w:spacing w:before="120" w:after="120" w:line="288" w:lineRule="auto"/>
        <w:ind w:left="0"/>
        <w:jc w:val="left"/>
      </w:pPr>
      <w:r>
        <w:rPr>
          <w:rFonts w:eastAsia="等线" w:ascii="Arial" w:cs="Arial" w:hAnsi="Arial"/>
          <w:b w:val="true"/>
          <w:sz w:val="22"/>
        </w:rPr>
        <w:t>客户分层管理原则概述</w:t>
      </w:r>
    </w:p>
    <w:p>
      <w:pPr>
        <w:numPr>
          <w:numId w:val="2"/>
        </w:numPr>
        <w:spacing w:before="120" w:after="120" w:line="288" w:lineRule="auto"/>
        <w:ind w:left="453"/>
        <w:jc w:val="left"/>
      </w:pPr>
      <w:r>
        <w:rPr>
          <w:rFonts w:eastAsia="等线" w:ascii="Arial" w:cs="Arial" w:hAnsi="Arial"/>
          <w:b w:val="true"/>
          <w:sz w:val="22"/>
        </w:rPr>
        <w:t>开源与深挖并重</w:t>
      </w:r>
    </w:p>
    <w:p>
      <w:pPr>
        <w:numPr>
          <w:numId w:val="3"/>
        </w:numPr>
        <w:spacing w:before="120" w:after="120" w:line="288" w:lineRule="auto"/>
        <w:ind w:left="907"/>
        <w:jc w:val="left"/>
      </w:pPr>
      <w:r>
        <w:rPr>
          <w:rFonts w:eastAsia="等线" w:ascii="Arial" w:cs="Arial" w:hAnsi="Arial"/>
          <w:sz w:val="22"/>
        </w:rPr>
        <w:t>获取新客户：说话人 1 提出，企业不仅要从公域和自身资源中源源不断地获取新的市场流量和客户，还要做好已到手客户的终身管理，以发挥其最大价值。</w:t>
      </w:r>
    </w:p>
    <w:p>
      <w:pPr>
        <w:numPr>
          <w:numId w:val="4"/>
        </w:numPr>
        <w:spacing w:before="120" w:after="120" w:line="288" w:lineRule="auto"/>
        <w:ind w:left="907"/>
        <w:jc w:val="left"/>
      </w:pPr>
      <w:r>
        <w:rPr>
          <w:rFonts w:eastAsia="等线" w:ascii="Arial" w:cs="Arial" w:hAnsi="Arial"/>
          <w:sz w:val="22"/>
        </w:rPr>
        <w:t>客户管理的重要性：对于个体咨询师而言，若没有专门的市场团队，做好客户管理、深挖客户价值尤为重要。</w:t>
      </w:r>
    </w:p>
    <w:p>
      <w:pPr>
        <w:numPr>
          <w:numId w:val="5"/>
        </w:numPr>
        <w:spacing w:before="120" w:after="120" w:line="288" w:lineRule="auto"/>
        <w:ind w:left="453"/>
        <w:jc w:val="left"/>
      </w:pPr>
      <w:r>
        <w:rPr>
          <w:rFonts w:eastAsia="等线" w:ascii="Arial" w:cs="Arial" w:hAnsi="Arial"/>
          <w:b w:val="true"/>
          <w:sz w:val="22"/>
        </w:rPr>
        <w:t>155 黄金人脉圈理论</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5630"/>
        <w:gridCol w:w="248"/>
        <w:gridCol w:w="2152"/>
        <w:gridCol w:w="248"/>
      </w:tblGrid>
      <w:tr>
        <w:tc>
          <w:tcPr>
            <w:tcW w:w="5630"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理论内容：一个人只需 155 个客户，就有可能支撑每年年入百万。但这 155 个客户的获取并不容易，需要从客户群体中进行筛查和培养。</w:t>
            </w:r>
          </w:p>
          <w:p>
            <w:pPr>
              <w:numPr>
                <w:numId w:val="7"/>
              </w:numPr>
              <w:spacing w:before="120" w:after="120" w:line="288" w:lineRule="auto"/>
              <w:ind w:left="0"/>
              <w:jc w:val="left"/>
            </w:pPr>
            <w:r>
              <w:rPr>
                <w:rFonts w:eastAsia="等线" w:ascii="Arial" w:cs="Arial" w:hAnsi="Arial"/>
                <w:sz w:val="22"/>
              </w:rPr>
              <w:t>客户构成：这 155 个客户由 5 个命友、50 个密友和 100 个好友构成。</w:t>
            </w:r>
          </w:p>
        </w:tc>
        <w:tc>
          <w:tcPr>
            <w:tcW w:w="248" w:type="dxa"/>
            <w:tcMar>
              <w:top w:type="dxa" w:w="60"/>
              <w:left w:type="dxa" w:w="120"/>
              <w:bottom w:type="dxa" w:w="30"/>
              <w:right w:type="dxa" w:w="120"/>
            </w:tcMar>
          </w:tcPr>
          <w:p>
            <w:pPr>
              <w:spacing w:before="120" w:after="120" w:line="288" w:lineRule="auto"/>
              <w:ind w:left="0"/>
              <w:jc w:val="left"/>
            </w:pPr>
          </w:p>
        </w:tc>
        <w:tc>
          <w:tcPr>
            <w:tcW w:w="2152" w:type="dxa"/>
            <w:tcMar>
              <w:top w:type="dxa" w:w="60"/>
              <w:left w:type="dxa" w:w="120"/>
              <w:bottom w:type="dxa" w:w="30"/>
              <w:right w:type="dxa" w:w="120"/>
            </w:tcMar>
          </w:tcPr>
          <w:p>
            <w:pPr>
              <w:spacing w:before="120" w:after="120" w:line="288" w:lineRule="auto"/>
              <w:ind w:left="0"/>
              <w:jc w:val="center"/>
            </w:pPr>
            <w:r>
              <w:drawing>
                <wp:inline distT="0" distR="0" distB="0" distL="0">
                  <wp:extent cx="1209675" cy="809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209675" cy="8096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155黄金人脉圈客户构成比例</w:t>
              <w:br/>
            </w:r>
          </w:p>
        </w:tc>
        <w:tc>
          <w:tcPr>
            <w:tcW w:w="248" w:type="dxa"/>
            <w:tcMar>
              <w:top w:type="dxa" w:w="60"/>
              <w:left w:type="dxa" w:w="120"/>
              <w:bottom w:type="dxa" w:w="30"/>
              <w:right w:type="dxa" w:w="120"/>
            </w:tcMar>
          </w:tcPr>
          <w:p>
            <w:pPr>
              <w:spacing w:before="120" w:after="120" w:line="288" w:lineRule="auto"/>
              <w:ind w:left="0"/>
              <w:jc w:val="left"/>
            </w:pPr>
          </w:p>
        </w:tc>
      </w:tr>
    </w:tbl>
    <w:p>
      <w:pPr>
        <w:numPr>
          <w:numId w:val="8"/>
        </w:numPr>
        <w:spacing w:before="120" w:after="120" w:line="288" w:lineRule="auto"/>
        <w:ind w:left="0"/>
        <w:jc w:val="left"/>
      </w:pPr>
      <w:r>
        <w:rPr>
          <w:rFonts w:eastAsia="等线" w:ascii="Arial" w:cs="Arial" w:hAnsi="Arial"/>
          <w:b w:val="true"/>
          <w:sz w:val="22"/>
        </w:rPr>
        <w:t>155 黄金人脉圈客户构成剖析</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885"/>
        <w:gridCol w:w="3394"/>
      </w:tblGrid>
      <w:tr>
        <w:tc>
          <w:tcPr>
            <w:tcW w:w="4885"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b w:val="true"/>
                <w:sz w:val="22"/>
              </w:rPr>
              <w:t>5 个命友</w:t>
            </w:r>
          </w:p>
          <w:p>
            <w:pPr>
              <w:numPr>
                <w:numId w:val="10"/>
              </w:numPr>
              <w:spacing w:before="120" w:after="120" w:line="288" w:lineRule="auto"/>
              <w:ind w:left="453"/>
              <w:jc w:val="left"/>
            </w:pPr>
            <w:r>
              <w:rPr>
                <w:rFonts w:eastAsia="等线" w:ascii="Arial" w:cs="Arial" w:hAnsi="Arial"/>
                <w:sz w:val="22"/>
              </w:rPr>
              <w:t>定义：说话人 1 指出，5 个命友是“不是合伙人的合伙人”，他们可能是重要的渠道伙伴，能为业务引流、成交和交付提供帮助，也可能是能给予交付指导和支持的人。</w:t>
            </w:r>
          </w:p>
          <w:p>
            <w:pPr>
              <w:numPr>
                <w:numId w:val="11"/>
              </w:numPr>
              <w:spacing w:before="120" w:after="120" w:line="288" w:lineRule="auto"/>
              <w:ind w:left="453"/>
              <w:jc w:val="left"/>
            </w:pPr>
            <w:r>
              <w:rPr>
                <w:rFonts w:eastAsia="等线" w:ascii="Arial" w:cs="Arial" w:hAnsi="Arial"/>
                <w:sz w:val="22"/>
              </w:rPr>
              <w:t>来源：主要来自客户群体，可通过对客户资源情况和能力情况的筛查来寻找。例如，说话人 1 在经营教培机构时，就有三位家长合伙人从普通客户发展而来，为店铺贡献了约 50%的客户。</w:t>
            </w:r>
          </w:p>
          <w:p>
            <w:pPr>
              <w:numPr>
                <w:numId w:val="12"/>
              </w:numPr>
              <w:spacing w:before="120" w:after="120" w:line="288" w:lineRule="auto"/>
              <w:ind w:left="453"/>
              <w:jc w:val="left"/>
            </w:pPr>
            <w:r>
              <w:rPr>
                <w:rFonts w:eastAsia="等线" w:ascii="Arial" w:cs="Arial" w:hAnsi="Arial"/>
                <w:sz w:val="22"/>
              </w:rPr>
              <w:t>合作方式：可能采用分佣的方式，与他们建立合作关系。</w:t>
            </w:r>
          </w:p>
        </w:tc>
        <w:tc>
          <w:tcPr>
            <w:tcW w:w="3394" w:type="dxa"/>
            <w:tcMar>
              <w:top w:type="dxa" w:w="60"/>
              <w:left w:type="dxa" w:w="120"/>
              <w:bottom w:type="dxa" w:w="30"/>
              <w:right w:type="dxa" w:w="120"/>
            </w:tcMar>
          </w:tcPr>
          <w:p>
            <w:pPr>
              <w:spacing w:before="120" w:after="120" w:line="288" w:lineRule="auto"/>
              <w:ind w:left="0"/>
              <w:jc w:val="center"/>
            </w:pPr>
            <w:r>
              <w:drawing>
                <wp:inline distT="0" distR="0" distB="0" distL="0">
                  <wp:extent cx="2000250" cy="1019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000250" cy="10191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155黄金人脉圈客户层次对比</w:t>
              <w:br/>
            </w:r>
          </w:p>
        </w:tc>
      </w:tr>
    </w:tbl>
    <w:p>
      <w:pPr>
        <w:numPr>
          <w:numId w:val="13"/>
        </w:numPr>
        <w:spacing w:before="120" w:after="120" w:line="288" w:lineRule="auto"/>
        <w:ind w:left="453"/>
        <w:jc w:val="left"/>
      </w:pPr>
      <w:r>
        <w:rPr>
          <w:rFonts w:eastAsia="等线" w:ascii="Arial" w:cs="Arial" w:hAnsi="Arial"/>
          <w:b w:val="true"/>
          <w:sz w:val="22"/>
        </w:rPr>
        <w:t>50 个密友</w:t>
      </w:r>
    </w:p>
    <w:p>
      <w:pPr>
        <w:numPr>
          <w:numId w:val="14"/>
        </w:numPr>
        <w:spacing w:before="120" w:after="120" w:line="288" w:lineRule="auto"/>
        <w:ind w:left="907"/>
        <w:jc w:val="left"/>
      </w:pPr>
      <w:r>
        <w:rPr>
          <w:rFonts w:eastAsia="等线" w:ascii="Arial" w:cs="Arial" w:hAnsi="Arial"/>
          <w:sz w:val="22"/>
        </w:rPr>
        <w:t>定义：50 个密友被称为“不是员工的员工”，他们可能没有很多资源，但乐于通过参与分销活动赚取小钱。</w:t>
      </w:r>
    </w:p>
    <w:p>
      <w:pPr>
        <w:numPr>
          <w:numId w:val="15"/>
        </w:numPr>
        <w:spacing w:before="120" w:after="120" w:line="288" w:lineRule="auto"/>
        <w:ind w:left="907"/>
        <w:jc w:val="left"/>
      </w:pPr>
      <w:r>
        <w:rPr>
          <w:rFonts w:eastAsia="等线" w:ascii="Arial" w:cs="Arial" w:hAnsi="Arial"/>
          <w:sz w:val="22"/>
        </w:rPr>
        <w:t>筛查方法：主要分析客户的性格，筛选出喜欢占小便宜、热衷于社交和分享的人。在有分销活动时，优先与他们沟通。</w:t>
      </w:r>
    </w:p>
    <w:p>
      <w:pPr>
        <w:numPr>
          <w:numId w:val="16"/>
        </w:numPr>
        <w:spacing w:before="120" w:after="120" w:line="288" w:lineRule="auto"/>
        <w:ind w:left="453"/>
        <w:jc w:val="left"/>
      </w:pPr>
      <w:r>
        <w:rPr>
          <w:rFonts w:eastAsia="等线" w:ascii="Arial" w:cs="Arial" w:hAnsi="Arial"/>
          <w:b w:val="true"/>
          <w:sz w:val="22"/>
        </w:rPr>
        <w:t>100 个好友</w:t>
      </w:r>
    </w:p>
    <w:p>
      <w:pPr>
        <w:numPr>
          <w:numId w:val="17"/>
        </w:numPr>
        <w:spacing w:before="120" w:after="120" w:line="288" w:lineRule="auto"/>
        <w:ind w:left="907"/>
        <w:jc w:val="left"/>
      </w:pPr>
      <w:r>
        <w:rPr>
          <w:rFonts w:eastAsia="等线" w:ascii="Arial" w:cs="Arial" w:hAnsi="Arial"/>
          <w:sz w:val="22"/>
        </w:rPr>
        <w:t>定义：100 个好友是在没有利益诱导的情况下，愿意帮忙在朋友圈传播活动信息的人。</w:t>
      </w:r>
    </w:p>
    <w:p>
      <w:pPr>
        <w:numPr>
          <w:numId w:val="18"/>
        </w:numPr>
        <w:spacing w:before="120" w:after="120" w:line="288" w:lineRule="auto"/>
        <w:ind w:left="907"/>
        <w:jc w:val="left"/>
      </w:pPr>
      <w:r>
        <w:rPr>
          <w:rFonts w:eastAsia="等线" w:ascii="Arial" w:cs="Arial" w:hAnsi="Arial"/>
          <w:sz w:val="22"/>
        </w:rPr>
        <w:t>获取方式：通过广撒网的方式，在与客户的日常沟通中，发现那些更好说话、更愿意帮忙传播的人。</w:t>
      </w:r>
    </w:p>
    <w:p>
      <w:pPr>
        <w:numPr>
          <w:numId w:val="19"/>
        </w:numPr>
        <w:spacing w:before="120" w:after="120" w:line="288" w:lineRule="auto"/>
        <w:ind w:left="0"/>
        <w:jc w:val="left"/>
      </w:pPr>
      <w:r>
        <w:rPr>
          <w:rFonts w:eastAsia="等线" w:ascii="Arial" w:cs="Arial" w:hAnsi="Arial"/>
          <w:b w:val="true"/>
          <w:sz w:val="22"/>
        </w:rPr>
        <w:t>155 黄金人脉圈的经营要点</w:t>
      </w:r>
    </w:p>
    <w:p>
      <w:pPr>
        <w:numPr>
          <w:numId w:val="20"/>
        </w:numPr>
        <w:spacing w:before="120" w:after="120" w:line="288" w:lineRule="auto"/>
        <w:ind w:left="453"/>
        <w:jc w:val="left"/>
      </w:pPr>
      <w:r>
        <w:rPr>
          <w:rFonts w:eastAsia="等线" w:ascii="Arial" w:cs="Arial" w:hAnsi="Arial"/>
          <w:b w:val="true"/>
          <w:sz w:val="22"/>
        </w:rPr>
        <w:t>情绪价值与物质价值双重绑定</w:t>
      </w:r>
    </w:p>
    <w:p>
      <w:pPr>
        <w:numPr>
          <w:numId w:val="21"/>
        </w:numPr>
        <w:spacing w:before="120" w:after="120" w:line="288" w:lineRule="auto"/>
        <w:ind w:left="907"/>
        <w:jc w:val="left"/>
      </w:pPr>
      <w:r>
        <w:rPr>
          <w:rFonts w:eastAsia="等线" w:ascii="Arial" w:cs="Arial" w:hAnsi="Arial"/>
          <w:sz w:val="22"/>
        </w:rPr>
        <w:t>重要性：说话人 1 强调，稳固的客户关系是情绪价值和物质价值的双重绑定。只有同时提供这两种价值，才能与客户建立长久的合作关系。</w:t>
      </w:r>
    </w:p>
    <w:p>
      <w:pPr>
        <w:numPr>
          <w:numId w:val="22"/>
        </w:numPr>
        <w:spacing w:before="120" w:after="120" w:line="288" w:lineRule="auto"/>
        <w:ind w:left="907"/>
        <w:jc w:val="left"/>
      </w:pPr>
      <w:r>
        <w:rPr>
          <w:rFonts w:eastAsia="等线" w:ascii="Arial" w:cs="Arial" w:hAnsi="Arial"/>
          <w:sz w:val="22"/>
        </w:rPr>
        <w:t>不同性格的人经营效果差异：以说话人 1 自身为例，因其社恐，不喜欢提供情绪价值，所以在客户经营方面存在困难；而热衷于社交、善于与他人沟通的店长，则能很好地经营 155 黄金人脉圈。</w:t>
      </w:r>
    </w:p>
    <w:p>
      <w:pPr>
        <w:numPr>
          <w:numId w:val="23"/>
        </w:numPr>
        <w:spacing w:before="120" w:after="120" w:line="288" w:lineRule="auto"/>
        <w:ind w:left="453"/>
        <w:jc w:val="left"/>
      </w:pPr>
      <w:r>
        <w:rPr>
          <w:rFonts w:eastAsia="等线" w:ascii="Arial" w:cs="Arial" w:hAnsi="Arial"/>
          <w:b w:val="true"/>
          <w:sz w:val="22"/>
        </w:rPr>
        <w:t>情绪价值的提供方式</w:t>
      </w:r>
    </w:p>
    <w:p>
      <w:pPr>
        <w:numPr>
          <w:numId w:val="24"/>
        </w:numPr>
        <w:spacing w:before="120" w:after="120" w:line="288" w:lineRule="auto"/>
        <w:ind w:left="907"/>
        <w:jc w:val="left"/>
      </w:pPr>
      <w:r>
        <w:rPr>
          <w:rFonts w:eastAsia="等线" w:ascii="Arial" w:cs="Arial" w:hAnsi="Arial"/>
          <w:sz w:val="22"/>
        </w:rPr>
        <w:t>保持温度：要与命友、密友、好友保持一定的联系频率和方式，如定期见面、吃饭、喝茶、打电话或发微信等。例如，说话人 1 每月会与 5 个密友吃一次饭或喝一次下午茶。</w:t>
      </w:r>
    </w:p>
    <w:p>
      <w:pPr>
        <w:numPr>
          <w:numId w:val="25"/>
        </w:numPr>
        <w:spacing w:before="120" w:after="120" w:line="288" w:lineRule="auto"/>
        <w:ind w:left="907"/>
        <w:jc w:val="left"/>
      </w:pPr>
      <w:r>
        <w:rPr>
          <w:rFonts w:eastAsia="等线" w:ascii="Arial" w:cs="Arial" w:hAnsi="Arial"/>
          <w:sz w:val="22"/>
        </w:rPr>
        <w:t>投其所好：了解客户的爱好，在适当的时候给予相关的关注和礼物。如说话人 1 出差时看到小猫衣服，会买给喜欢养猫的朋友。</w:t>
      </w:r>
    </w:p>
    <w:p>
      <w:pPr>
        <w:numPr>
          <w:numId w:val="26"/>
        </w:numPr>
        <w:spacing w:before="120" w:after="120" w:line="288" w:lineRule="auto"/>
        <w:ind w:left="907"/>
        <w:jc w:val="left"/>
      </w:pPr>
      <w:r>
        <w:rPr>
          <w:rFonts w:eastAsia="等线" w:ascii="Arial" w:cs="Arial" w:hAnsi="Arial"/>
          <w:sz w:val="22"/>
        </w:rPr>
        <w:t>解决难题：当客户遇到情绪上的难题时，要学会共情并尽可能帮助他们解决问题。通过记录客户的难题，及时提供支持和帮助。</w:t>
      </w:r>
    </w:p>
    <w:p>
      <w:pPr>
        <w:numPr>
          <w:numId w:val="27"/>
        </w:numPr>
        <w:spacing w:before="120" w:after="120" w:line="288" w:lineRule="auto"/>
        <w:ind w:left="453"/>
        <w:jc w:val="left"/>
      </w:pPr>
      <w:r>
        <w:rPr>
          <w:rFonts w:eastAsia="等线" w:ascii="Arial" w:cs="Arial" w:hAnsi="Arial"/>
          <w:b w:val="true"/>
          <w:sz w:val="22"/>
        </w:rPr>
        <w:t>物质价值的提供方式</w:t>
      </w:r>
    </w:p>
    <w:p>
      <w:pPr>
        <w:numPr>
          <w:numId w:val="28"/>
        </w:numPr>
        <w:spacing w:before="120" w:after="120" w:line="288" w:lineRule="auto"/>
        <w:ind w:left="907"/>
        <w:jc w:val="left"/>
      </w:pPr>
      <w:r>
        <w:rPr>
          <w:rFonts w:eastAsia="等线" w:ascii="Arial" w:cs="Arial" w:hAnsi="Arial"/>
          <w:sz w:val="22"/>
        </w:rPr>
        <w:t>资源的提供：思考客户的需求，提供自己所能的资源和帮助。例如，在客户有小孩读书、买房等需求时，能提供相关的信息和建议。</w:t>
      </w:r>
    </w:p>
    <w:p>
      <w:pPr>
        <w:numPr>
          <w:numId w:val="29"/>
        </w:numPr>
        <w:spacing w:before="120" w:after="120" w:line="288" w:lineRule="auto"/>
        <w:ind w:left="907"/>
        <w:jc w:val="left"/>
      </w:pPr>
      <w:r>
        <w:rPr>
          <w:rFonts w:eastAsia="等线" w:ascii="Arial" w:cs="Arial" w:hAnsi="Arial"/>
          <w:sz w:val="22"/>
        </w:rPr>
        <w:t>特别服务：为不同层次的客户提供与普通客户不同的特别服务。如说话人 1 经营的教培机构，会为尊贵的前 5 号客户的小朋友在店内免费举办生日会，并提供主持人和布场服务。</w:t>
      </w:r>
    </w:p>
    <w:p>
      <w:pPr>
        <w:numPr>
          <w:numId w:val="30"/>
        </w:numPr>
        <w:spacing w:before="120" w:after="120" w:line="288" w:lineRule="auto"/>
        <w:ind w:left="907"/>
        <w:jc w:val="left"/>
      </w:pPr>
      <w:r>
        <w:rPr>
          <w:rFonts w:eastAsia="等线" w:ascii="Arial" w:cs="Arial" w:hAnsi="Arial"/>
          <w:sz w:val="22"/>
        </w:rPr>
        <w:t>分钱到位：根据与客户的关系和自身成本考虑，合理分配利益。可以是金钱，也可以是物资，如在活动时给 100 号客户的小孩送水果等。</w:t>
      </w:r>
    </w:p>
    <w:p>
      <w:pPr>
        <w:numPr>
          <w:numId w:val="31"/>
        </w:numPr>
        <w:spacing w:before="120" w:after="120" w:line="288" w:lineRule="auto"/>
        <w:ind w:left="0"/>
        <w:jc w:val="left"/>
      </w:pPr>
      <w:r>
        <w:rPr>
          <w:rFonts w:eastAsia="等线" w:ascii="Arial" w:cs="Arial" w:hAnsi="Arial"/>
          <w:b w:val="true"/>
          <w:sz w:val="22"/>
        </w:rPr>
        <w:t>155 黄金人脉圈的经营步骤</w:t>
      </w:r>
    </w:p>
    <w:p>
      <w:pPr>
        <w:numPr>
          <w:numId w:val="32"/>
        </w:numPr>
        <w:spacing w:before="120" w:after="120" w:line="288" w:lineRule="auto"/>
        <w:ind w:left="453"/>
        <w:jc w:val="left"/>
      </w:pPr>
      <w:r>
        <w:rPr>
          <w:rFonts w:eastAsia="等线" w:ascii="Arial" w:cs="Arial" w:hAnsi="Arial"/>
          <w:b w:val="true"/>
          <w:sz w:val="22"/>
        </w:rPr>
        <w:t>筛查客户</w:t>
      </w:r>
      <w:r>
        <w:rPr>
          <w:rFonts w:eastAsia="等线" w:ascii="Arial" w:cs="Arial" w:hAnsi="Arial"/>
          <w:sz w:val="22"/>
        </w:rPr>
        <w:t>：根据客户的资源情况、性格情况等，将客户进行分类，确定谁有可能成为 5 个命友、50 个密友和 100 个好友。</w:t>
      </w:r>
    </w:p>
    <w:p>
      <w:pPr>
        <w:numPr>
          <w:numId w:val="33"/>
        </w:numPr>
        <w:spacing w:before="120" w:after="120" w:line="288" w:lineRule="auto"/>
        <w:ind w:left="453"/>
        <w:jc w:val="left"/>
      </w:pPr>
      <w:r>
        <w:rPr>
          <w:rFonts w:eastAsia="等线" w:ascii="Arial" w:cs="Arial" w:hAnsi="Arial"/>
          <w:b w:val="true"/>
          <w:sz w:val="22"/>
        </w:rPr>
        <w:t>提供与索取价值</w:t>
      </w:r>
      <w:r>
        <w:rPr>
          <w:rFonts w:eastAsia="等线" w:ascii="Arial" w:cs="Arial" w:hAnsi="Arial"/>
          <w:sz w:val="22"/>
        </w:rPr>
        <w:t>：在确定目标客户后，开始为他们提供情绪价值和物质价值，同时也要敢于向他们索取价值，从一个小忙开始，逐步加深彼此的关系。</w:t>
      </w:r>
    </w:p>
    <w:p>
      <w:pPr>
        <w:numPr>
          <w:numId w:val="34"/>
        </w:numPr>
        <w:spacing w:before="120" w:after="120" w:line="288" w:lineRule="auto"/>
        <w:ind w:left="453"/>
        <w:jc w:val="left"/>
      </w:pPr>
      <w:r>
        <w:rPr>
          <w:rFonts w:eastAsia="等线" w:ascii="Arial" w:cs="Arial" w:hAnsi="Arial"/>
          <w:b w:val="true"/>
          <w:sz w:val="22"/>
        </w:rPr>
        <w:t>使用管理表格</w:t>
      </w:r>
      <w:r>
        <w:rPr>
          <w:rFonts w:eastAsia="等线" w:ascii="Arial" w:cs="Arial" w:hAnsi="Arial"/>
          <w:sz w:val="22"/>
        </w:rPr>
        <w:t>：通过制作表格，记录客户的信息，包括联系频率、爱好、遇到的难题以及提供的资源和特别服务等，以便更好地进行客户管理。</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00:01</w:t>
        </w:r>
      </w:hyperlink>
      <w:r>
        <w:rPr>
          <w:rFonts w:eastAsia="等线" w:ascii="Arial" w:cs="Arial" w:hAnsi="Arial"/>
          <w:b w:val="true"/>
          <w:sz w:val="22"/>
        </w:rPr>
        <w:t xml:space="preserve">  客户分层管理原则与155黄金人脉圈解读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客户分层管理原则，强调既要获取新客户，也要做好现有客户终身管理。提及“155黄金人脉圈”理论，即一个人有155个客户可支撑年入百万，但这155个客户获取不易。其由五“命友”（非合伙人的合伙人）、50个“密友”（非员工的员工）、100个“好友”（愿传播者）构成。</w:t>
            </w:r>
          </w:p>
        </w:tc>
      </w:tr>
    </w:tbl>
    <w:p>
      <w:pPr>
        <w:spacing w:before="120" w:after="120" w:line="288" w:lineRule="auto"/>
        <w:ind w:left="0"/>
        <w:jc w:val="left"/>
      </w:pPr>
      <w:hyperlink r:id="rId9">
        <w:r>
          <w:rPr>
            <w:rFonts w:eastAsia="等线" w:ascii="Arial" w:cs="Arial" w:hAnsi="Arial"/>
            <w:color w:val="3370ff"/>
            <w:sz w:val="22"/>
          </w:rPr>
          <w:t>02:47</w:t>
        </w:r>
      </w:hyperlink>
      <w:r>
        <w:rPr>
          <w:rFonts w:eastAsia="等线" w:ascii="Arial" w:cs="Arial" w:hAnsi="Arial"/>
          <w:b w:val="true"/>
          <w:sz w:val="22"/>
        </w:rPr>
        <w:t xml:space="preserve">  剖析“五个命友”概念、来源及寻找方法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5个命友”，即不是合伙人的合伙人。他们能在引流、成交、交付等方面助力事业，可通过分佣合作。这5人可能是资源方或销售能力强、能提升交付的人，可从客户中筛选，如说话人曾经营的教培机构就有从客户发展来的家长合伙人，为门店贡献大量客户，后续会讲发展方法。</w:t>
            </w:r>
          </w:p>
        </w:tc>
      </w:tr>
    </w:tbl>
    <w:p>
      <w:pPr>
        <w:spacing w:before="120" w:after="120" w:line="288" w:lineRule="auto"/>
        <w:ind w:left="0"/>
        <w:jc w:val="left"/>
      </w:pPr>
      <w:hyperlink r:id="rId10">
        <w:r>
          <w:rPr>
            <w:rFonts w:eastAsia="等线" w:ascii="Arial" w:cs="Arial" w:hAnsi="Arial"/>
            <w:color w:val="3370ff"/>
            <w:sz w:val="22"/>
          </w:rPr>
          <w:t>08:12</w:t>
        </w:r>
      </w:hyperlink>
      <w:r>
        <w:rPr>
          <w:rFonts w:eastAsia="等线" w:ascii="Arial" w:cs="Arial" w:hAnsi="Arial"/>
          <w:b w:val="true"/>
          <w:sz w:val="22"/>
        </w:rPr>
        <w:t xml:space="preserve">  50个密友分销模式及人员分析策略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不是员工的员工”——50个密友，他们会为赚小钱参与分销，如199元小型测评可分100 - 150元。分析时，对其中5个密友主要分析资源背景，对另外50个则分析性格，筛选出喜欢占小便宜、热衷社交且乐于推荐的人，有分销活动时优先与他们沟通。</w:t>
            </w:r>
          </w:p>
        </w:tc>
      </w:tr>
    </w:tbl>
    <w:p>
      <w:pPr>
        <w:spacing w:before="120" w:after="120" w:line="288" w:lineRule="auto"/>
        <w:ind w:left="0"/>
        <w:jc w:val="left"/>
      </w:pPr>
      <w:hyperlink r:id="rId11">
        <w:r>
          <w:rPr>
            <w:rFonts w:eastAsia="等线" w:ascii="Arial" w:cs="Arial" w:hAnsi="Arial"/>
            <w:color w:val="3370ff"/>
            <w:sz w:val="22"/>
          </w:rPr>
          <w:t>09:58</w:t>
        </w:r>
      </w:hyperlink>
      <w:r>
        <w:rPr>
          <w:rFonts w:eastAsia="等线" w:ascii="Arial" w:cs="Arial" w:hAnsi="Arial"/>
          <w:b w:val="true"/>
          <w:sz w:val="22"/>
        </w:rPr>
        <w:t xml:space="preserve">  教培机构客户155人名单的筛选与价值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从客户中筛选155人名单的方法。其中5个命友看资源和能力，且最好与自身互补；50个密友查性格特点；最后100个好友广撒网，看谁更愿帮忙传播。说话人以自身经营教培机构为例，虽攒齐名单不易，但能极大降低市场成本，提醒要在客户里找出这155人。</w:t>
            </w:r>
          </w:p>
        </w:tc>
      </w:tr>
    </w:tbl>
    <w:p>
      <w:pPr>
        <w:spacing w:before="120" w:after="120" w:line="288" w:lineRule="auto"/>
        <w:ind w:left="0"/>
        <w:jc w:val="left"/>
      </w:pPr>
      <w:hyperlink r:id="rId12">
        <w:r>
          <w:rPr>
            <w:rFonts w:eastAsia="等线" w:ascii="Arial" w:cs="Arial" w:hAnsi="Arial"/>
            <w:color w:val="3370ff"/>
            <w:sz w:val="22"/>
          </w:rPr>
          <w:t>13:17</w:t>
        </w:r>
      </w:hyperlink>
      <w:r>
        <w:rPr>
          <w:rFonts w:eastAsia="等线" w:ascii="Arial" w:cs="Arial" w:hAnsi="Arial"/>
          <w:b w:val="true"/>
          <w:sz w:val="22"/>
        </w:rPr>
        <w:t xml:space="preserve">  155黄金人脉圈需情绪与物质价值双重绑定</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稳固的关系是情绪价值和物质价值的双重绑定。并非所有人都适合经营155黄金人脉圈，社恐者因不擅提供情绪价值较难做好，热衷社交者则更合适。在合作中，既要分好物质价值，给予支持和工具，也要重视情绪价值，若不愿提供情绪价值，在客户服务层面做此事可能不合适。</w:t>
            </w:r>
          </w:p>
        </w:tc>
      </w:tr>
    </w:tbl>
    <w:p>
      <w:pPr>
        <w:spacing w:before="120" w:after="120" w:line="288" w:lineRule="auto"/>
        <w:ind w:left="0"/>
        <w:jc w:val="left"/>
      </w:pPr>
      <w:hyperlink r:id="rId13">
        <w:r>
          <w:rPr>
            <w:rFonts w:eastAsia="等线" w:ascii="Arial" w:cs="Arial" w:hAnsi="Arial"/>
            <w:color w:val="3370ff"/>
            <w:sz w:val="22"/>
          </w:rPr>
          <w:t>17:01</w:t>
        </w:r>
      </w:hyperlink>
      <w:r>
        <w:rPr>
          <w:rFonts w:eastAsia="等线" w:ascii="Arial" w:cs="Arial" w:hAnsi="Arial"/>
          <w:b w:val="true"/>
          <w:sz w:val="22"/>
        </w:rPr>
        <w:t xml:space="preserve">  地产秘书经验之情绪价值客户关系管理法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客户与关系管理经验。其曾是地产大佬秘书，管理大佬各界关系。在情绪价值管理上，有三方面要点：一是保持温度，明确联系频率与方式；二是投其所好，找到共同兴趣拉近关系；三是解决难题，共情并帮对方解决情绪难题，还需用表格记录相关信息。</w:t>
            </w:r>
          </w:p>
        </w:tc>
      </w:tr>
    </w:tbl>
    <w:p>
      <w:pPr>
        <w:spacing w:before="120" w:after="120" w:line="288" w:lineRule="auto"/>
        <w:ind w:left="0"/>
        <w:jc w:val="left"/>
      </w:pPr>
      <w:hyperlink r:id="rId14">
        <w:r>
          <w:rPr>
            <w:rFonts w:eastAsia="等线" w:ascii="Arial" w:cs="Arial" w:hAnsi="Arial"/>
            <w:color w:val="3370ff"/>
            <w:sz w:val="22"/>
          </w:rPr>
          <w:t>21:23</w:t>
        </w:r>
      </w:hyperlink>
      <w:r>
        <w:rPr>
          <w:rFonts w:eastAsia="等线" w:ascii="Arial" w:cs="Arial" w:hAnsi="Arial"/>
          <w:b w:val="true"/>
          <w:sz w:val="22"/>
        </w:rPr>
        <w:t xml:space="preserve">  155黄金人脉圈经营的情绪与物质价值法则</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情绪价值和物质价值双重绑定是155黄金人脉圈经营的核心。物质价值包含资源提供，思考能为客户提供何种资源；特别服务，给予部分客户与普通客户不同的待遇；分钱到位，根据成本合理分配，可包括物资。此外，要先筛选目标客户，再进行价值的提供与索取。</w:t>
            </w:r>
          </w:p>
        </w:tc>
      </w:tr>
    </w:tbl>
    <w:p>
      <w:pPr>
        <w:spacing w:before="120" w:after="120" w:line="288" w:lineRule="auto"/>
        <w:ind w:left="0"/>
        <w:jc w:val="left"/>
      </w:pPr>
      <w:hyperlink r:id="rId15">
        <w:r>
          <w:rPr>
            <w:rFonts w:eastAsia="等线" w:ascii="Arial" w:cs="Arial" w:hAnsi="Arial"/>
            <w:color w:val="3370ff"/>
            <w:sz w:val="22"/>
          </w:rPr>
          <w:t>26:01</w:t>
        </w:r>
      </w:hyperlink>
      <w:r>
        <w:rPr>
          <w:rFonts w:eastAsia="等线" w:ascii="Arial" w:cs="Arial" w:hAnsi="Arial"/>
          <w:b w:val="true"/>
          <w:sz w:val="22"/>
        </w:rPr>
        <w:t xml:space="preserve">  155黄金人脉圈经营方法与目标祝愿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155黄金人脉圈的经营方法。要梳理客户，明确5个大资源或大能力户、50个非员工的员工、100个口碑传播者。对不同名单的人提供个性化服务，如保持温度、投其所好、解决难题、提供物质价值等，并将特别服务标准化。最后强调要有明确目的，祝愿规划师早日凑齐人脉圈。</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35"/>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：运用 155 黄金人脉圈理论进行客户分层管理。</w:t>
      </w:r>
    </w:p>
    <w:p>
      <w:pPr>
        <w:numPr>
          <w:numId w:val="36"/>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：如何做好客户管理，深挖客户价值，实现年入百万。</w:t>
      </w:r>
    </w:p>
    <w:p>
      <w:pPr>
        <w:numPr>
          <w:numId w:val="37"/>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8"/>
        </w:numPr>
        <w:spacing w:before="120" w:after="120" w:line="288" w:lineRule="auto"/>
        <w:ind w:left="907"/>
        <w:jc w:val="left"/>
      </w:pPr>
      <w:r>
        <w:rPr>
          <w:rFonts w:eastAsia="等线" w:ascii="Arial" w:cs="Arial" w:hAnsi="Arial"/>
          <w:sz w:val="22"/>
        </w:rPr>
        <w:t>说话人 1 提出 155 黄金人脉圈理论，即 5 个命友（不是合伙人的合伙人）、50 个密友（不是员工的员工）、100 个好友（愿意为你做传播的人）。</w:t>
      </w:r>
    </w:p>
    <w:p>
      <w:pPr>
        <w:numPr>
          <w:numId w:val="39"/>
        </w:numPr>
        <w:spacing w:before="120" w:after="120" w:line="288" w:lineRule="auto"/>
        <w:ind w:left="907"/>
        <w:jc w:val="left"/>
      </w:pPr>
      <w:r>
        <w:rPr>
          <w:rFonts w:eastAsia="等线" w:ascii="Arial" w:cs="Arial" w:hAnsi="Arial"/>
          <w:sz w:val="22"/>
        </w:rPr>
        <w:t>对于 5 个命友，从客户中筛查资源和能力与自身互补的人，可采用分佣方式合作；对于 50 个密友，分析其性格，筛选出喜欢占小便宜、热衷社交和推荐的人，通过分销活动合作；对于 100 个好友，广撒网，选择愿意无偿帮忙传播的人。</w:t>
      </w:r>
    </w:p>
    <w:p>
      <w:pPr>
        <w:numPr>
          <w:numId w:val="40"/>
        </w:numPr>
        <w:spacing w:before="120" w:after="120" w:line="288" w:lineRule="auto"/>
        <w:ind w:left="907"/>
        <w:jc w:val="left"/>
      </w:pPr>
      <w:r>
        <w:rPr>
          <w:rFonts w:eastAsia="等线" w:ascii="Arial" w:cs="Arial" w:hAnsi="Arial"/>
          <w:sz w:val="22"/>
        </w:rPr>
        <w:t>经营 155 黄金人脉圈需进行情绪价值和物质价值的双重绑定。情绪价值方面要保持温度、投其所好、解决难题；物质价值方面要提供资源、给予特别服务、分钱到位。</w:t>
      </w:r>
    </w:p>
    <w:p>
      <w:pPr>
        <w:numPr>
          <w:numId w:val="41"/>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：通过该理论进行客户分层管理，能极大程度降低市场成本，实现客户价值最大化。</w:t>
      </w:r>
    </w:p>
    <w:p>
      <w:pPr>
        <w:pBdr>
          <w:bottom w:val="single" w:color="dee0e3"/>
          <w:between w:val="single" w:color="dee0e3"/>
        </w:pBdr>
        <w:spacing w:before="120" w:after="120" w:line="288" w:lineRule="auto"/>
        <w:ind w:left="0"/>
      </w:pPr>
    </w:p>
    <w:p>
      <w:pPr>
        <w:numPr>
          <w:numId w:val="42"/>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「我们不光要开源，获取新的市场流量和客户，同时也要做好已到手客户的终身管理，发挥其最大价值。」</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突出了会议主题中客户开源和管理的核心观点，强调了客户管理的重要性。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「一个人只需要 155 个客户，这 155 个客户就可以支撑其每年年入百万。」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提出新颖的 155 黄金人脉圈观点，能引发读者对客户价值的思考和共鸣。</w:t>
      </w:r>
    </w:p>
    <w:p>
      <w:pPr>
        <w:spacing w:before="120" w:after="120" w:line="288" w:lineRule="auto"/>
        <w:ind w:left="0"/>
        <w:jc w:val="left"/>
      </w:pPr>
    </w:p>
    <w:p>
      <w:pPr>
        <w:spacing w:before="120" w:after="120" w:line="288" w:lineRule="auto"/>
        <w:ind w:left="0"/>
        <w:jc w:val="left"/>
      </w:pPr>
      <w:r>
        <w:rPr>
          <w:rFonts w:eastAsia="等线" w:ascii="Arial" w:cs="Arial" w:hAnsi="Arial"/>
          <w:sz w:val="22"/>
        </w:rPr>
        <w:t>「稳固的关系一定是情绪价值和物质价值的双重绑定。」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点明了经营 155 黄金人脉圈的核心要点，具有决定性意义，能让读者快速理解关键内容。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43"/>
        </w:numPr>
        <w:spacing w:before="120" w:after="120" w:line="288" w:lineRule="auto"/>
        <w:ind w:left="0"/>
        <w:jc w:val="left"/>
      </w:pPr>
      <w:r>
        <w:rPr>
          <w:rFonts w:eastAsia="等线" w:ascii="Arial" w:cs="Arial" w:hAnsi="Arial"/>
          <w:sz w:val="22"/>
        </w:rPr>
        <w:t>妙记：</w:t>
      </w:r>
      <w:hyperlink r:id="rId16">
        <w:r>
          <w:rPr>
            <w:rFonts w:eastAsia="等线" w:ascii="Arial" w:cs="Arial" w:hAnsi="Arial"/>
            <w:color w:val="3370ff"/>
            <w:sz w:val="22"/>
          </w:rPr>
          <w:t>10-私域 - 2. 客户分层管理原则</w:t>
        </w:r>
      </w:hyperlink>
    </w:p>
    <w:p>
      <w:pPr>
        <w:numPr>
          <w:numId w:val="44"/>
        </w:numPr>
        <w:spacing w:before="120" w:after="120" w:line="288" w:lineRule="auto"/>
        <w:ind w:left="0"/>
        <w:jc w:val="left"/>
      </w:pPr>
      <w:r>
        <w:rPr>
          <w:rFonts w:eastAsia="等线" w:ascii="Arial" w:cs="Arial" w:hAnsi="Arial"/>
          <w:sz w:val="22"/>
        </w:rPr>
        <w:t>文字记录</w:t>
      </w:r>
    </w:p>
    <w:p>
      <w:pPr>
        <w:numPr>
          <w:numId w:val="45"/>
        </w:numPr>
        <w:spacing w:before="120" w:after="120" w:line="288" w:lineRule="auto"/>
        <w:ind w:left="453"/>
        <w:jc w:val="left"/>
      </w:pPr>
      <w:hyperlink r:id="rId17">
        <w:r>
          <w:rPr>
            <w:rFonts w:eastAsia="等线" w:ascii="Arial" w:cs="Arial" w:hAnsi="Arial"/>
            <w:color w:val="3370ff"/>
            <w:sz w:val="22"/>
          </w:rPr>
          <w:t>10-私域 - 2. 客户分层管理原则 2026年1月23日</w:t>
        </w:r>
      </w:hyperlink>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295">
    <w:lvl>
      <w:numFmt w:val="bullet"/>
      <w:suff w:val="tab"/>
      <w:lvlText w:val="•"/>
      <w:rPr>
        <w:color w:val="3370ff"/>
      </w:rPr>
    </w:lvl>
  </w:abstractNum>
  <w:abstractNum w:abstractNumId="71296">
    <w:lvl>
      <w:numFmt w:val="bullet"/>
      <w:suff w:val="tab"/>
      <w:lvlText w:val="￮"/>
      <w:rPr>
        <w:color w:val="3370ff"/>
      </w:rPr>
    </w:lvl>
  </w:abstractNum>
  <w:abstractNum w:abstractNumId="71297">
    <w:lvl>
      <w:numFmt w:val="bullet"/>
      <w:suff w:val="tab"/>
      <w:lvlText w:val="▪"/>
      <w:rPr>
        <w:color w:val="3370ff"/>
        <w:sz w:val="11"/>
      </w:rPr>
    </w:lvl>
  </w:abstractNum>
  <w:abstractNum w:abstractNumId="71298">
    <w:lvl>
      <w:numFmt w:val="bullet"/>
      <w:suff w:val="tab"/>
      <w:lvlText w:val="▪"/>
      <w:rPr>
        <w:color w:val="3370ff"/>
        <w:sz w:val="11"/>
      </w:rPr>
    </w:lvl>
  </w:abstractNum>
  <w:abstractNum w:abstractNumId="71299">
    <w:lvl>
      <w:numFmt w:val="bullet"/>
      <w:suff w:val="tab"/>
      <w:lvlText w:val="￮"/>
      <w:rPr>
        <w:color w:val="3370ff"/>
      </w:rPr>
    </w:lvl>
  </w:abstractNum>
  <w:abstractNum w:abstractNumId="71300">
    <w:lvl>
      <w:numFmt w:val="bullet"/>
      <w:suff w:val="tab"/>
      <w:lvlText w:val="•"/>
      <w:rPr>
        <w:color w:val="3370ff"/>
      </w:rPr>
    </w:lvl>
  </w:abstractNum>
  <w:abstractNum w:abstractNumId="71301">
    <w:lvl>
      <w:numFmt w:val="bullet"/>
      <w:suff w:val="tab"/>
      <w:lvlText w:val="•"/>
      <w:rPr>
        <w:color w:val="3370ff"/>
      </w:rPr>
    </w:lvl>
  </w:abstractNum>
  <w:abstractNum w:abstractNumId="71302">
    <w:lvl>
      <w:numFmt w:val="bullet"/>
      <w:suff w:val="tab"/>
      <w:lvlText w:val="•"/>
      <w:rPr>
        <w:color w:val="3370ff"/>
      </w:rPr>
    </w:lvl>
  </w:abstractNum>
  <w:abstractNum w:abstractNumId="71303">
    <w:lvl>
      <w:numFmt w:val="bullet"/>
      <w:suff w:val="tab"/>
      <w:lvlText w:val="•"/>
      <w:rPr>
        <w:color w:val="3370ff"/>
      </w:rPr>
    </w:lvl>
  </w:abstractNum>
  <w:abstractNum w:abstractNumId="71304">
    <w:lvl>
      <w:numFmt w:val="bullet"/>
      <w:suff w:val="tab"/>
      <w:lvlText w:val="￮"/>
      <w:rPr>
        <w:color w:val="3370ff"/>
      </w:rPr>
    </w:lvl>
  </w:abstractNum>
  <w:abstractNum w:abstractNumId="71305">
    <w:lvl>
      <w:numFmt w:val="bullet"/>
      <w:suff w:val="tab"/>
      <w:lvlText w:val="￮"/>
      <w:rPr>
        <w:color w:val="3370ff"/>
      </w:rPr>
    </w:lvl>
  </w:abstractNum>
  <w:abstractNum w:abstractNumId="71306">
    <w:lvl>
      <w:numFmt w:val="bullet"/>
      <w:suff w:val="tab"/>
      <w:lvlText w:val="￮"/>
      <w:rPr>
        <w:color w:val="3370ff"/>
      </w:rPr>
    </w:lvl>
  </w:abstractNum>
  <w:abstractNum w:abstractNumId="71307">
    <w:lvl>
      <w:numFmt w:val="bullet"/>
      <w:suff w:val="tab"/>
      <w:lvlText w:val="￮"/>
      <w:rPr>
        <w:color w:val="3370ff"/>
      </w:rPr>
    </w:lvl>
  </w:abstractNum>
  <w:abstractNum w:abstractNumId="71308">
    <w:lvl>
      <w:numFmt w:val="bullet"/>
      <w:suff w:val="tab"/>
      <w:lvlText w:val="▪"/>
      <w:rPr>
        <w:color w:val="3370ff"/>
        <w:sz w:val="11"/>
      </w:rPr>
    </w:lvl>
  </w:abstractNum>
  <w:abstractNum w:abstractNumId="71309">
    <w:lvl>
      <w:numFmt w:val="bullet"/>
      <w:suff w:val="tab"/>
      <w:lvlText w:val="▪"/>
      <w:rPr>
        <w:color w:val="3370ff"/>
        <w:sz w:val="11"/>
      </w:rPr>
    </w:lvl>
  </w:abstractNum>
  <w:abstractNum w:abstractNumId="71310">
    <w:lvl>
      <w:numFmt w:val="bullet"/>
      <w:suff w:val="tab"/>
      <w:lvlText w:val="￮"/>
      <w:rPr>
        <w:color w:val="3370ff"/>
      </w:rPr>
    </w:lvl>
  </w:abstractNum>
  <w:abstractNum w:abstractNumId="71311">
    <w:lvl>
      <w:numFmt w:val="bullet"/>
      <w:suff w:val="tab"/>
      <w:lvlText w:val="▪"/>
      <w:rPr>
        <w:color w:val="3370ff"/>
        <w:sz w:val="11"/>
      </w:rPr>
    </w:lvl>
  </w:abstractNum>
  <w:abstractNum w:abstractNumId="71312">
    <w:lvl>
      <w:numFmt w:val="bullet"/>
      <w:suff w:val="tab"/>
      <w:lvlText w:val="▪"/>
      <w:rPr>
        <w:color w:val="3370ff"/>
        <w:sz w:val="11"/>
      </w:rPr>
    </w:lvl>
  </w:abstractNum>
  <w:abstractNum w:abstractNumId="71313">
    <w:lvl>
      <w:numFmt w:val="bullet"/>
      <w:suff w:val="tab"/>
      <w:lvlText w:val="•"/>
      <w:rPr>
        <w:color w:val="3370ff"/>
      </w:rPr>
    </w:lvl>
  </w:abstractNum>
  <w:abstractNum w:abstractNumId="71314">
    <w:lvl>
      <w:numFmt w:val="bullet"/>
      <w:suff w:val="tab"/>
      <w:lvlText w:val="￮"/>
      <w:rPr>
        <w:color w:val="3370ff"/>
      </w:rPr>
    </w:lvl>
  </w:abstractNum>
  <w:abstractNum w:abstractNumId="71315">
    <w:lvl>
      <w:numFmt w:val="bullet"/>
      <w:suff w:val="tab"/>
      <w:lvlText w:val="▪"/>
      <w:rPr>
        <w:color w:val="3370ff"/>
        <w:sz w:val="11"/>
      </w:rPr>
    </w:lvl>
  </w:abstractNum>
  <w:abstractNum w:abstractNumId="71316">
    <w:lvl>
      <w:numFmt w:val="bullet"/>
      <w:suff w:val="tab"/>
      <w:lvlText w:val="▪"/>
      <w:rPr>
        <w:color w:val="3370ff"/>
        <w:sz w:val="11"/>
      </w:rPr>
    </w:lvl>
  </w:abstractNum>
  <w:abstractNum w:abstractNumId="71317">
    <w:lvl>
      <w:numFmt w:val="bullet"/>
      <w:suff w:val="tab"/>
      <w:lvlText w:val="￮"/>
      <w:rPr>
        <w:color w:val="3370ff"/>
      </w:rPr>
    </w:lvl>
  </w:abstractNum>
  <w:abstractNum w:abstractNumId="71318">
    <w:lvl>
      <w:numFmt w:val="bullet"/>
      <w:suff w:val="tab"/>
      <w:lvlText w:val="▪"/>
      <w:rPr>
        <w:color w:val="3370ff"/>
        <w:sz w:val="11"/>
      </w:rPr>
    </w:lvl>
  </w:abstractNum>
  <w:abstractNum w:abstractNumId="71319">
    <w:lvl>
      <w:numFmt w:val="bullet"/>
      <w:suff w:val="tab"/>
      <w:lvlText w:val="▪"/>
      <w:rPr>
        <w:color w:val="3370ff"/>
        <w:sz w:val="11"/>
      </w:rPr>
    </w:lvl>
  </w:abstractNum>
  <w:abstractNum w:abstractNumId="71320">
    <w:lvl>
      <w:numFmt w:val="bullet"/>
      <w:suff w:val="tab"/>
      <w:lvlText w:val="▪"/>
      <w:rPr>
        <w:color w:val="3370ff"/>
        <w:sz w:val="11"/>
      </w:rPr>
    </w:lvl>
  </w:abstractNum>
  <w:abstractNum w:abstractNumId="71321">
    <w:lvl>
      <w:numFmt w:val="bullet"/>
      <w:suff w:val="tab"/>
      <w:lvlText w:val="￮"/>
      <w:rPr>
        <w:color w:val="3370ff"/>
      </w:rPr>
    </w:lvl>
  </w:abstractNum>
  <w:abstractNum w:abstractNumId="71322">
    <w:lvl>
      <w:numFmt w:val="bullet"/>
      <w:suff w:val="tab"/>
      <w:lvlText w:val="▪"/>
      <w:rPr>
        <w:color w:val="3370ff"/>
        <w:sz w:val="11"/>
      </w:rPr>
    </w:lvl>
  </w:abstractNum>
  <w:abstractNum w:abstractNumId="71323">
    <w:lvl>
      <w:numFmt w:val="bullet"/>
      <w:suff w:val="tab"/>
      <w:lvlText w:val="▪"/>
      <w:rPr>
        <w:color w:val="3370ff"/>
        <w:sz w:val="11"/>
      </w:rPr>
    </w:lvl>
  </w:abstractNum>
  <w:abstractNum w:abstractNumId="71324">
    <w:lvl>
      <w:numFmt w:val="bullet"/>
      <w:suff w:val="tab"/>
      <w:lvlText w:val="▪"/>
      <w:rPr>
        <w:color w:val="3370ff"/>
        <w:sz w:val="11"/>
      </w:rPr>
    </w:lvl>
  </w:abstractNum>
  <w:abstractNum w:abstractNumId="71325">
    <w:lvl>
      <w:numFmt w:val="bullet"/>
      <w:suff w:val="tab"/>
      <w:lvlText w:val="•"/>
      <w:rPr>
        <w:color w:val="3370ff"/>
      </w:rPr>
    </w:lvl>
  </w:abstractNum>
  <w:abstractNum w:abstractNumId="71326">
    <w:lvl>
      <w:numFmt w:val="bullet"/>
      <w:suff w:val="tab"/>
      <w:lvlText w:val="￮"/>
      <w:rPr>
        <w:color w:val="3370ff"/>
      </w:rPr>
    </w:lvl>
  </w:abstractNum>
  <w:abstractNum w:abstractNumId="71327">
    <w:lvl>
      <w:numFmt w:val="bullet"/>
      <w:suff w:val="tab"/>
      <w:lvlText w:val="￮"/>
      <w:rPr>
        <w:color w:val="3370ff"/>
      </w:rPr>
    </w:lvl>
  </w:abstractNum>
  <w:abstractNum w:abstractNumId="71328">
    <w:lvl>
      <w:numFmt w:val="bullet"/>
      <w:suff w:val="tab"/>
      <w:lvlText w:val="￮"/>
      <w:rPr>
        <w:color w:val="3370ff"/>
      </w:rPr>
    </w:lvl>
  </w:abstractNum>
  <w:abstractNum w:abstractNumId="71329">
    <w:lvl>
      <w:numFmt w:val="bullet"/>
      <w:suff w:val="tab"/>
      <w:lvlText w:val="•"/>
      <w:rPr>
        <w:color w:val="3370ff"/>
      </w:rPr>
    </w:lvl>
  </w:abstractNum>
  <w:abstractNum w:abstractNumId="71330">
    <w:lvl>
      <w:numFmt w:val="bullet"/>
      <w:suff w:val="tab"/>
      <w:lvlText w:val="￮"/>
      <w:rPr>
        <w:color w:val="3370ff"/>
      </w:rPr>
    </w:lvl>
  </w:abstractNum>
  <w:abstractNum w:abstractNumId="71331">
    <w:lvl>
      <w:numFmt w:val="bullet"/>
      <w:suff w:val="tab"/>
      <w:lvlText w:val="￮"/>
      <w:rPr>
        <w:color w:val="3370ff"/>
      </w:rPr>
    </w:lvl>
  </w:abstractNum>
  <w:abstractNum w:abstractNumId="71332">
    <w:lvl>
      <w:numFmt w:val="bullet"/>
      <w:suff w:val="tab"/>
      <w:lvlText w:val="▪"/>
      <w:rPr>
        <w:color w:val="3370ff"/>
        <w:sz w:val="11"/>
      </w:rPr>
    </w:lvl>
  </w:abstractNum>
  <w:abstractNum w:abstractNumId="71333">
    <w:lvl>
      <w:numFmt w:val="bullet"/>
      <w:suff w:val="tab"/>
      <w:lvlText w:val="▪"/>
      <w:rPr>
        <w:color w:val="3370ff"/>
        <w:sz w:val="11"/>
      </w:rPr>
    </w:lvl>
  </w:abstractNum>
  <w:abstractNum w:abstractNumId="71334">
    <w:lvl>
      <w:numFmt w:val="bullet"/>
      <w:suff w:val="tab"/>
      <w:lvlText w:val="▪"/>
      <w:rPr>
        <w:color w:val="3370ff"/>
        <w:sz w:val="11"/>
      </w:rPr>
    </w:lvl>
  </w:abstractNum>
  <w:abstractNum w:abstractNumId="71335">
    <w:lvl>
      <w:numFmt w:val="bullet"/>
      <w:suff w:val="tab"/>
      <w:lvlText w:val="￮"/>
      <w:rPr>
        <w:color w:val="3370ff"/>
      </w:rPr>
    </w:lvl>
  </w:abstractNum>
  <w:abstractNum w:abstractNumId="71336">
    <w:lvl>
      <w:numFmt w:val="bullet"/>
      <w:suff w:val="tab"/>
      <w:lvlText w:val="•"/>
      <w:rPr>
        <w:color w:val="3370ff"/>
      </w:rPr>
    </w:lvl>
  </w:abstractNum>
  <w:abstractNum w:abstractNumId="71337">
    <w:lvl>
      <w:numFmt w:val="bullet"/>
      <w:suff w:val="tab"/>
      <w:lvlText w:val="•"/>
      <w:rPr>
        <w:color w:val="3370ff"/>
      </w:rPr>
    </w:lvl>
  </w:abstractNum>
  <w:abstractNum w:abstractNumId="71338">
    <w:lvl>
      <w:numFmt w:val="bullet"/>
      <w:suff w:val="tab"/>
      <w:lvlText w:val="•"/>
      <w:rPr>
        <w:color w:val="3370ff"/>
      </w:rPr>
    </w:lvl>
  </w:abstractNum>
  <w:abstractNum w:abstractNumId="71339">
    <w:lvl>
      <w:numFmt w:val="bullet"/>
      <w:suff w:val="tab"/>
      <w:lvlText w:val="￮"/>
      <w:rPr>
        <w:color w:val="3370ff"/>
      </w:rPr>
    </w:lvl>
  </w:abstractNum>
  <w:num w:numId="1">
    <w:abstractNumId w:val="71295"/>
  </w:num>
  <w:num w:numId="2">
    <w:abstractNumId w:val="71296"/>
  </w:num>
  <w:num w:numId="3">
    <w:abstractNumId w:val="71297"/>
  </w:num>
  <w:num w:numId="4">
    <w:abstractNumId w:val="71298"/>
  </w:num>
  <w:num w:numId="5">
    <w:abstractNumId w:val="71299"/>
  </w:num>
  <w:num w:numId="6">
    <w:abstractNumId w:val="71300"/>
  </w:num>
  <w:num w:numId="7">
    <w:abstractNumId w:val="71301"/>
  </w:num>
  <w:num w:numId="8">
    <w:abstractNumId w:val="71302"/>
  </w:num>
  <w:num w:numId="9">
    <w:abstractNumId w:val="71303"/>
  </w:num>
  <w:num w:numId="10">
    <w:abstractNumId w:val="71304"/>
  </w:num>
  <w:num w:numId="11">
    <w:abstractNumId w:val="71305"/>
  </w:num>
  <w:num w:numId="12">
    <w:abstractNumId w:val="71306"/>
  </w:num>
  <w:num w:numId="13">
    <w:abstractNumId w:val="71307"/>
  </w:num>
  <w:num w:numId="14">
    <w:abstractNumId w:val="71308"/>
  </w:num>
  <w:num w:numId="15">
    <w:abstractNumId w:val="71309"/>
  </w:num>
  <w:num w:numId="16">
    <w:abstractNumId w:val="71310"/>
  </w:num>
  <w:num w:numId="17">
    <w:abstractNumId w:val="71311"/>
  </w:num>
  <w:num w:numId="18">
    <w:abstractNumId w:val="71312"/>
  </w:num>
  <w:num w:numId="19">
    <w:abstractNumId w:val="71313"/>
  </w:num>
  <w:num w:numId="20">
    <w:abstractNumId w:val="71314"/>
  </w:num>
  <w:num w:numId="21">
    <w:abstractNumId w:val="71315"/>
  </w:num>
  <w:num w:numId="22">
    <w:abstractNumId w:val="71316"/>
  </w:num>
  <w:num w:numId="23">
    <w:abstractNumId w:val="71317"/>
  </w:num>
  <w:num w:numId="24">
    <w:abstractNumId w:val="71318"/>
  </w:num>
  <w:num w:numId="25">
    <w:abstractNumId w:val="71319"/>
  </w:num>
  <w:num w:numId="26">
    <w:abstractNumId w:val="71320"/>
  </w:num>
  <w:num w:numId="27">
    <w:abstractNumId w:val="71321"/>
  </w:num>
  <w:num w:numId="28">
    <w:abstractNumId w:val="71322"/>
  </w:num>
  <w:num w:numId="29">
    <w:abstractNumId w:val="71323"/>
  </w:num>
  <w:num w:numId="30">
    <w:abstractNumId w:val="71324"/>
  </w:num>
  <w:num w:numId="31">
    <w:abstractNumId w:val="71325"/>
  </w:num>
  <w:num w:numId="32">
    <w:abstractNumId w:val="71326"/>
  </w:num>
  <w:num w:numId="33">
    <w:abstractNumId w:val="71327"/>
  </w:num>
  <w:num w:numId="34">
    <w:abstractNumId w:val="71328"/>
  </w:num>
  <w:num w:numId="35">
    <w:abstractNumId w:val="71329"/>
  </w:num>
  <w:num w:numId="36">
    <w:abstractNumId w:val="71330"/>
  </w:num>
  <w:num w:numId="37">
    <w:abstractNumId w:val="71331"/>
  </w:num>
  <w:num w:numId="38">
    <w:abstractNumId w:val="71332"/>
  </w:num>
  <w:num w:numId="39">
    <w:abstractNumId w:val="71333"/>
  </w:num>
  <w:num w:numId="40">
    <w:abstractNumId w:val="71334"/>
  </w:num>
  <w:num w:numId="41">
    <w:abstractNumId w:val="71335"/>
  </w:num>
  <w:num w:numId="42">
    <w:abstractNumId w:val="71336"/>
  </w:num>
  <w:num w:numId="43">
    <w:abstractNumId w:val="71337"/>
  </w:num>
  <w:num w:numId="44">
    <w:abstractNumId w:val="71338"/>
  </w:num>
  <w:num w:numId="45">
    <w:abstractNumId w:val="713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z48nj492w967j2451qn?t=492000" TargetMode="External" Type="http://schemas.openxmlformats.org/officeDocument/2006/relationships/hyperlink"/><Relationship Id="rId11" Target="https://hcnytq72r1ge.feishu.cn/minutes/obcnfz48nj492w967j2451qn?t=598000" TargetMode="External" Type="http://schemas.openxmlformats.org/officeDocument/2006/relationships/hyperlink"/><Relationship Id="rId12" Target="https://hcnytq72r1ge.feishu.cn/minutes/obcnfz48nj492w967j2451qn?t=797000" TargetMode="External" Type="http://schemas.openxmlformats.org/officeDocument/2006/relationships/hyperlink"/><Relationship Id="rId13" Target="https://hcnytq72r1ge.feishu.cn/minutes/obcnfz48nj492w967j2451qn?t=1021000" TargetMode="External" Type="http://schemas.openxmlformats.org/officeDocument/2006/relationships/hyperlink"/><Relationship Id="rId14" Target="https://hcnytq72r1ge.feishu.cn/minutes/obcnfz48nj492w967j2451qn?t=1283000" TargetMode="External" Type="http://schemas.openxmlformats.org/officeDocument/2006/relationships/hyperlink"/><Relationship Id="rId15" Target="https://hcnytq72r1ge.feishu.cn/minutes/obcnfz48nj492w967j2451qn?t=1561000" TargetMode="External" Type="http://schemas.openxmlformats.org/officeDocument/2006/relationships/hyperlink"/><Relationship Id="rId16" Target="https://hcnytq72r1ge.feishu.cn/minutes/obcnfz48nj492w967j2451qn?from=ai_minutes" TargetMode="External" Type="http://schemas.openxmlformats.org/officeDocument/2006/relationships/hyperlink"/><Relationship Id="rId17" Target="https://hcnytq72r1ge.feishu.cn/docx/QfBddWELXofVJ3xyLEOcdw64nDc" TargetMode="External" Type="http://schemas.openxmlformats.org/officeDocument/2006/relationships/hyperlink"/><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z48nj492w967j2451qn?t=1000" TargetMode="External" Type="http://schemas.openxmlformats.org/officeDocument/2006/relationships/hyperlink"/><Relationship Id="rId9" Target="https://hcnytq72r1ge.feishu.cn/minutes/obcnfz48nj492w967j2451qn?t=167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2026-01-27T07:04:56Z</dcterms:created>
  <dc:creator>Apache POI</dc:creator>
</cp:coreProperties>
</file>