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智能纪要：09-专注力解决之计划分解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会议主题：09-专注力解决之计划分解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18:54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本次会议说话人1围绕专注学习的计划环节展开讲解，阐述了计划与目标的关系、计划分解的方法及工具，鼓励大家先制定计划并在实践中不断调整完善，内容如下：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计划与专注的关系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计划本质</w:t>
      </w:r>
      <w:r>
        <w:rPr>
          <w:rFonts w:eastAsia="等线" w:ascii="Arial" w:cs="Arial" w:hAnsi="Arial"/>
          <w:sz w:val="22"/>
        </w:rPr>
        <w:t>：说话人1指出计划的本质是为目标服务，每个时间段都应有固定的任务和目标，这样才能做到心无旁骛，进入专注状态。若同时想着多项任务，就无法专注。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专注的阻碍</w:t>
      </w:r>
      <w:r>
        <w:rPr>
          <w:rFonts w:eastAsia="等线" w:ascii="Arial" w:cs="Arial" w:hAnsi="Arial"/>
          <w:sz w:val="22"/>
        </w:rPr>
        <w:t>：人们在学习时容易出现做数学想英语、做英语想物理等情况，导致无法专注于当前任务，难以进入专注状态。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计划的分解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任务列出与排序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任务罗列：要先将当天要完成的所有任务、作业等全部列出来，进行思考和安排。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排序原则：原则上按照简单到难、提分性价比的原则进行排序。例如，若近期目标是提升数学成绩，就从数学任务的易到难安排，先进行计算训练等基础任务，再逐步深入。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番茄时钟法应用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时间切割任务：用番茄时钟法以时间切割任务，而非用任务切割时间。比如，先安排好所有任务，为目标科目预留充足时间，再将目标科目任务细分到具体时间段。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时间安排灵活：科学表明人的大脑可坚持 25 分钟高度专注，但可根据实际任务情况灵活安排时间，完成后记录完成度，以便调整计划。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047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计划分解步骤流程</w:t>
        <w:br/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计划的执行与完善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积极开始计划</w:t>
      </w:r>
      <w:r>
        <w:rPr>
          <w:rFonts w:eastAsia="等线" w:ascii="Arial" w:cs="Arial" w:hAnsi="Arial"/>
          <w:sz w:val="22"/>
        </w:rPr>
        <w:t>：说话人1强调不管计划做得怎样，先开始做，有做计划就是很大的进步，后续再不断完善。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后续课程学习</w:t>
      </w:r>
      <w:r>
        <w:rPr>
          <w:rFonts w:eastAsia="等线" w:ascii="Arial" w:cs="Arial" w:hAnsi="Arial"/>
          <w:sz w:val="22"/>
        </w:rPr>
        <w:t>：后续会有专门的课程教大家如何做计划，目前只需了解简单的计划逻辑和框架。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00:07</w:t>
        </w:r>
      </w:hyperlink>
      <w:r>
        <w:rPr>
          <w:rFonts w:eastAsia="等线" w:ascii="Arial" w:cs="Arial" w:hAnsi="Arial"/>
          <w:b w:val="true"/>
          <w:sz w:val="22"/>
        </w:rPr>
        <w:t xml:space="preserve">  计划篇：以单一任务计划助力学习专注状态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进入第二个环节“计划篇”。强调计划的本质是为目标服务，每个时间段都应有固定任务和目标。指出无法专注是因为同时想着多个任务，不能心无旁骛。计划的核心是在同一时间段内只安排一个任务，如此才能进入专注状态，后续还会常提及计划为目标服务这一要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01:14</w:t>
        </w:r>
      </w:hyperlink>
      <w:r>
        <w:rPr>
          <w:rFonts w:eastAsia="等线" w:ascii="Arial" w:cs="Arial" w:hAnsi="Arial"/>
          <w:b w:val="true"/>
          <w:sz w:val="22"/>
        </w:rPr>
        <w:t xml:space="preserve">  第二计划分解方法及目标科目任务安排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第二计划的分解，即在纸上完成计划分解的方法。要先列出当天要完成的所有任务并进行思考安排，原则上按照从简单到难排序。以提分为例，若近期目标是单科突破，如提数学成绩，就将数学任务从易到难安排，先进行计算训练，再回归知识点、做题复习，且大部分时间应分配给目标科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02:26</w:t>
        </w:r>
      </w:hyperlink>
      <w:r>
        <w:rPr>
          <w:rFonts w:eastAsia="等线" w:ascii="Arial" w:cs="Arial" w:hAnsi="Arial"/>
          <w:b w:val="true"/>
          <w:sz w:val="22"/>
        </w:rPr>
        <w:t xml:space="preserve">  番茄时钟法：用时间切割任务及计划分解方法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番茄时钟法的核心是用时间切割任务，而非用任务切割时间。以做作业为例，若用任务切割时间易无时间观念，导致其他任务搁置。应先做计划分解，安排好所有任务，再分配时间给目标科目，将具体任务排入时间段，时间到马上停止当前任务，未完成的后续统一安排时间完成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03:38</w:t>
        </w:r>
      </w:hyperlink>
      <w:r>
        <w:rPr>
          <w:rFonts w:eastAsia="等线" w:ascii="Arial" w:cs="Arial" w:hAnsi="Arial"/>
          <w:b w:val="true"/>
          <w:sz w:val="22"/>
        </w:rPr>
        <w:t xml:space="preserve">  番茄时钟法用于计划分解及动态调整介绍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计划分解的工具——番茄时钟法，即将任务分解成可完成的小任务，25分钟并非绝对时长，可根据自身情况安排完成任务的时间。记录完成度，据此思考计划安排时间是否合理并不断调整。随着不断实践，成就感会累积，同一时段集中做一个任务的状态也会越来越好，老师会带着大家操作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04:52</w:t>
        </w:r>
      </w:hyperlink>
      <w:r>
        <w:rPr>
          <w:rFonts w:eastAsia="等线" w:ascii="Arial" w:cs="Arial" w:hAnsi="Arial"/>
          <w:b w:val="true"/>
          <w:sz w:val="22"/>
        </w:rPr>
        <w:t xml:space="preserve">  专注环节之计划重要性及后续课程安排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计划环节展开，强调计划是为目标服务，要给目标提分科目留足时间。计划能让人清晰知道每个时间段该做什么，避免事情多而杂乱、焦虑，从而无法专注。建议先开始做计划，再完成、完美，有计划就是进步。后续会有专门课程教做计划，本次仅介绍大概逻辑和框架，让大家先了解简单做法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：强调制定学习计划以实现专注学习。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：学生难以进入专注学习状态，常出现多任务干扰，无法心无旁骛。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提出计划的本质是为目标服务，每个时间段应只有一个固定任务和目标。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计划分解要将所有任务列出，按从简单到难排序，优先安排提分性价比高的科目任务。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推荐使用番茄时钟法，用时间切割任务，将任务分解为合适时长的小任务，根据完成度调整计划。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：合理的计划能让学生清晰知道每个时间段的任务，避免多任务干扰，从而进入专注状态，提高学习效率。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后续会专门开设一节课教学生如何做计划。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「计划的本质是为目标服务的。」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这句话突出了计划的核心意义，是整个会议关于计划阐述的关键观点，为后续讨论计划的制定和实施提供了理论基础。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「用时间切割任务，而非用任务切割时间。」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此句提出了一种新颖的时间管理方法，即番茄时钟法的核心，能引发对合理安排学习时间的思考。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「先开始，再完成，再完美。」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这句话鼓励学生不要因计划不完美而拖延，先行动起来，在实践中不断调整和完善计划，具有很强的激励性和指导意义。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09-专注力解决之计划分解</w:t>
        </w:r>
      </w:hyperlink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09-专注力解决之计划分解 2026年1月18日</w:t>
        </w:r>
      </w:hyperlink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7265">
    <w:lvl>
      <w:numFmt w:val="bullet"/>
      <w:suff w:val="tab"/>
      <w:lvlText w:val="•"/>
      <w:rPr>
        <w:color w:val="3370ff"/>
      </w:rPr>
    </w:lvl>
  </w:abstractNum>
  <w:abstractNum w:abstractNumId="317266">
    <w:lvl>
      <w:numFmt w:val="bullet"/>
      <w:suff w:val="tab"/>
      <w:lvlText w:val="￮"/>
      <w:rPr>
        <w:color w:val="3370ff"/>
      </w:rPr>
    </w:lvl>
  </w:abstractNum>
  <w:abstractNum w:abstractNumId="317267">
    <w:lvl>
      <w:numFmt w:val="bullet"/>
      <w:suff w:val="tab"/>
      <w:lvlText w:val="￮"/>
      <w:rPr>
        <w:color w:val="3370ff"/>
      </w:rPr>
    </w:lvl>
  </w:abstractNum>
  <w:abstractNum w:abstractNumId="317268">
    <w:lvl>
      <w:numFmt w:val="bullet"/>
      <w:suff w:val="tab"/>
      <w:lvlText w:val="•"/>
      <w:rPr>
        <w:color w:val="3370ff"/>
      </w:rPr>
    </w:lvl>
  </w:abstractNum>
  <w:abstractNum w:abstractNumId="317269">
    <w:lvl>
      <w:numFmt w:val="bullet"/>
      <w:suff w:val="tab"/>
      <w:lvlText w:val="￮"/>
      <w:rPr>
        <w:color w:val="3370ff"/>
      </w:rPr>
    </w:lvl>
  </w:abstractNum>
  <w:abstractNum w:abstractNumId="317270">
    <w:lvl>
      <w:numFmt w:val="bullet"/>
      <w:suff w:val="tab"/>
      <w:lvlText w:val="▪"/>
      <w:rPr>
        <w:color w:val="3370ff"/>
        <w:sz w:val="11"/>
      </w:rPr>
    </w:lvl>
  </w:abstractNum>
  <w:abstractNum w:abstractNumId="317271">
    <w:lvl>
      <w:numFmt w:val="bullet"/>
      <w:suff w:val="tab"/>
      <w:lvlText w:val="▪"/>
      <w:rPr>
        <w:color w:val="3370ff"/>
        <w:sz w:val="11"/>
      </w:rPr>
    </w:lvl>
  </w:abstractNum>
  <w:abstractNum w:abstractNumId="317272">
    <w:lvl>
      <w:numFmt w:val="bullet"/>
      <w:suff w:val="tab"/>
      <w:lvlText w:val="￮"/>
      <w:rPr>
        <w:color w:val="3370ff"/>
      </w:rPr>
    </w:lvl>
  </w:abstractNum>
  <w:abstractNum w:abstractNumId="317273">
    <w:lvl>
      <w:numFmt w:val="bullet"/>
      <w:suff w:val="tab"/>
      <w:lvlText w:val="▪"/>
      <w:rPr>
        <w:color w:val="3370ff"/>
        <w:sz w:val="11"/>
      </w:rPr>
    </w:lvl>
  </w:abstractNum>
  <w:abstractNum w:abstractNumId="317274">
    <w:lvl>
      <w:numFmt w:val="bullet"/>
      <w:suff w:val="tab"/>
      <w:lvlText w:val="▪"/>
      <w:rPr>
        <w:color w:val="3370ff"/>
        <w:sz w:val="11"/>
      </w:rPr>
    </w:lvl>
  </w:abstractNum>
  <w:abstractNum w:abstractNumId="317275">
    <w:lvl>
      <w:numFmt w:val="bullet"/>
      <w:suff w:val="tab"/>
      <w:lvlText w:val="•"/>
      <w:rPr>
        <w:color w:val="3370ff"/>
      </w:rPr>
    </w:lvl>
  </w:abstractNum>
  <w:abstractNum w:abstractNumId="317276">
    <w:lvl>
      <w:numFmt w:val="bullet"/>
      <w:suff w:val="tab"/>
      <w:lvlText w:val="￮"/>
      <w:rPr>
        <w:color w:val="3370ff"/>
      </w:rPr>
    </w:lvl>
  </w:abstractNum>
  <w:abstractNum w:abstractNumId="317277">
    <w:lvl>
      <w:numFmt w:val="bullet"/>
      <w:suff w:val="tab"/>
      <w:lvlText w:val="￮"/>
      <w:rPr>
        <w:color w:val="3370ff"/>
      </w:rPr>
    </w:lvl>
  </w:abstractNum>
  <w:abstractNum w:abstractNumId="317278">
    <w:lvl>
      <w:numFmt w:val="bullet"/>
      <w:suff w:val="tab"/>
      <w:lvlText w:val="•"/>
      <w:rPr>
        <w:color w:val="3370ff"/>
      </w:rPr>
    </w:lvl>
  </w:abstractNum>
  <w:abstractNum w:abstractNumId="317279">
    <w:lvl>
      <w:numFmt w:val="bullet"/>
      <w:suff w:val="tab"/>
      <w:lvlText w:val="￮"/>
      <w:rPr>
        <w:color w:val="3370ff"/>
      </w:rPr>
    </w:lvl>
  </w:abstractNum>
  <w:abstractNum w:abstractNumId="317280">
    <w:lvl>
      <w:numFmt w:val="bullet"/>
      <w:suff w:val="tab"/>
      <w:lvlText w:val="￮"/>
      <w:rPr>
        <w:color w:val="3370ff"/>
      </w:rPr>
    </w:lvl>
  </w:abstractNum>
  <w:abstractNum w:abstractNumId="317281">
    <w:lvl>
      <w:numFmt w:val="bullet"/>
      <w:suff w:val="tab"/>
      <w:lvlText w:val="▪"/>
      <w:rPr>
        <w:color w:val="3370ff"/>
        <w:sz w:val="11"/>
      </w:rPr>
    </w:lvl>
  </w:abstractNum>
  <w:abstractNum w:abstractNumId="317282">
    <w:lvl>
      <w:numFmt w:val="bullet"/>
      <w:suff w:val="tab"/>
      <w:lvlText w:val="▪"/>
      <w:rPr>
        <w:color w:val="3370ff"/>
        <w:sz w:val="11"/>
      </w:rPr>
    </w:lvl>
  </w:abstractNum>
  <w:abstractNum w:abstractNumId="317283">
    <w:lvl>
      <w:numFmt w:val="bullet"/>
      <w:suff w:val="tab"/>
      <w:lvlText w:val="▪"/>
      <w:rPr>
        <w:color w:val="3370ff"/>
        <w:sz w:val="11"/>
      </w:rPr>
    </w:lvl>
  </w:abstractNum>
  <w:abstractNum w:abstractNumId="317284">
    <w:lvl>
      <w:numFmt w:val="bullet"/>
      <w:suff w:val="tab"/>
      <w:lvlText w:val="￮"/>
      <w:rPr>
        <w:color w:val="3370ff"/>
      </w:rPr>
    </w:lvl>
  </w:abstractNum>
  <w:abstractNum w:abstractNumId="317285">
    <w:lvl>
      <w:numFmt w:val="bullet"/>
      <w:suff w:val="tab"/>
      <w:lvlText w:val="•"/>
      <w:rPr>
        <w:color w:val="3370ff"/>
      </w:rPr>
    </w:lvl>
  </w:abstractNum>
  <w:abstractNum w:abstractNumId="317286">
    <w:lvl>
      <w:start w:val="1"/>
      <w:numFmt w:val="lowerLetter"/>
      <w:suff w:val="tab"/>
      <w:lvlText w:val="%1."/>
      <w:rPr>
        <w:color w:val="3370ff"/>
      </w:rPr>
    </w:lvl>
  </w:abstractNum>
  <w:abstractNum w:abstractNumId="317287">
    <w:lvl>
      <w:numFmt w:val="bullet"/>
      <w:suff w:val="tab"/>
      <w:lvlText w:val="•"/>
      <w:rPr>
        <w:color w:val="3370ff"/>
      </w:rPr>
    </w:lvl>
  </w:abstractNum>
  <w:abstractNum w:abstractNumId="317288">
    <w:lvl>
      <w:numFmt w:val="bullet"/>
      <w:suff w:val="tab"/>
      <w:lvlText w:val="•"/>
      <w:rPr>
        <w:color w:val="3370ff"/>
      </w:rPr>
    </w:lvl>
  </w:abstractNum>
  <w:abstractNum w:abstractNumId="317289">
    <w:lvl>
      <w:numFmt w:val="bullet"/>
      <w:suff w:val="tab"/>
      <w:lvlText w:val="￮"/>
      <w:rPr>
        <w:color w:val="3370ff"/>
      </w:rPr>
    </w:lvl>
  </w:abstractNum>
  <w:num w:numId="1">
    <w:abstractNumId w:val="317265"/>
  </w:num>
  <w:num w:numId="2">
    <w:abstractNumId w:val="317266"/>
  </w:num>
  <w:num w:numId="3">
    <w:abstractNumId w:val="317267"/>
  </w:num>
  <w:num w:numId="4">
    <w:abstractNumId w:val="317268"/>
  </w:num>
  <w:num w:numId="5">
    <w:abstractNumId w:val="317269"/>
  </w:num>
  <w:num w:numId="6">
    <w:abstractNumId w:val="317270"/>
  </w:num>
  <w:num w:numId="7">
    <w:abstractNumId w:val="317271"/>
  </w:num>
  <w:num w:numId="8">
    <w:abstractNumId w:val="317272"/>
  </w:num>
  <w:num w:numId="9">
    <w:abstractNumId w:val="317273"/>
  </w:num>
  <w:num w:numId="10">
    <w:abstractNumId w:val="317274"/>
  </w:num>
  <w:num w:numId="11">
    <w:abstractNumId w:val="317275"/>
  </w:num>
  <w:num w:numId="12">
    <w:abstractNumId w:val="317276"/>
  </w:num>
  <w:num w:numId="13">
    <w:abstractNumId w:val="317277"/>
  </w:num>
  <w:num w:numId="14">
    <w:abstractNumId w:val="317278"/>
  </w:num>
  <w:num w:numId="15">
    <w:abstractNumId w:val="317279"/>
  </w:num>
  <w:num w:numId="16">
    <w:abstractNumId w:val="317280"/>
  </w:num>
  <w:num w:numId="17">
    <w:abstractNumId w:val="317281"/>
  </w:num>
  <w:num w:numId="18">
    <w:abstractNumId w:val="317282"/>
  </w:num>
  <w:num w:numId="19">
    <w:abstractNumId w:val="317283"/>
  </w:num>
  <w:num w:numId="20">
    <w:abstractNumId w:val="317284"/>
  </w:num>
  <w:num w:numId="21">
    <w:abstractNumId w:val="317285"/>
  </w:num>
  <w:num w:numId="22">
    <w:abstractNumId w:val="317286"/>
  </w:num>
  <w:num w:numId="23">
    <w:abstractNumId w:val="317287"/>
  </w:num>
  <w:num w:numId="24">
    <w:abstractNumId w:val="317288"/>
  </w:num>
  <w:num w:numId="25">
    <w:abstractNumId w:val="3172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4ivh7l122jis31a186?t=218000" TargetMode="External" Type="http://schemas.openxmlformats.org/officeDocument/2006/relationships/hyperlink"/><Relationship Id="rId11" Target="https://hcnytq72r1ge.feishu.cn/minutes/obcnct4ivh7l122jis31a186?t=292000" TargetMode="External" Type="http://schemas.openxmlformats.org/officeDocument/2006/relationships/hyperlink"/><Relationship Id="rId12" Target="https://hcnytq72r1ge.feishu.cn/minutes/obcnct4ivh7l122jis31a186?from=ai_minutes" TargetMode="External" Type="http://schemas.openxmlformats.org/officeDocument/2006/relationships/hyperlink"/><Relationship Id="rId13" Target="https://hcnytq72r1ge.feishu.cn/docx/W1OHdh6mQoBkV3xBI1McNHKIndg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ct4ivh7l122jis31a186?t=7000" TargetMode="External" Type="http://schemas.openxmlformats.org/officeDocument/2006/relationships/hyperlink"/><Relationship Id="rId8" Target="https://hcnytq72r1ge.feishu.cn/minutes/obcnct4ivh7l122jis31a186?t=74000" TargetMode="External" Type="http://schemas.openxmlformats.org/officeDocument/2006/relationships/hyperlink"/><Relationship Id="rId9" Target="https://hcnytq72r1ge.feishu.cn/minutes/obcnct4ivh7l122jis31a186?t=146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2026-01-18T16:20:06Z</dcterms:created>
  <dc:creator>Apache POI</dc:creator>
</cp:coreProperties>
</file>