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智能纪要：18-题目问题之估分批改流程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会议主题：18-题目问题之估分批改流程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18:56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33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本次会议主要围绕学习过程中的估分、批改和错题分析环节展开，说话人 1 详细讲解了估分和批改的重要性、操作方法及适用学科，内容如下：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估分的目的和意义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训练做题习惯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提高自我监控能力：估分能让学生在答题过程及结束后，不断评估自己的思路、方法和答案，对思维过程进行监控，训练做题思路。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发现自身问题：通过对比估分与实际分数的差异，学生能清晰认识到考试和做题过程中的问题，纠正粗心大意等不良习惯，养成良好的考试和做题习惯。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避免估分与实际分偏差大</w:t>
      </w:r>
      <w:r>
        <w:rPr>
          <w:rFonts w:eastAsia="等线" w:ascii="Arial" w:cs="Arial" w:hAnsi="Arial"/>
          <w:sz w:val="22"/>
        </w:rPr>
        <w:t>：很多学生考完感觉不错，但出分后却不理想，通过估分可以避免这种情况，是提分的手段和训练。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估分的操作方法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考后立即复盘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整体评估考试：思考考试的整体难度、与平常练习的对比、时间分配是否合理、有无仓促完成的题目等问题，对考试有基本了解。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标记笃定区：对稳拿分的题目估满分，思考题型是否见过、方法是否用对、计算是否复查、答案是否合理、书写和关键步骤是否清晰等问题。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分析模糊区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找出问题所在：思考题目卡壳点，如概念是否清晰、公式是否确定、计算是否能进行下去等，还需考虑过程是否完整、有无跳过步骤、是否忽略讨论情况等。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预估得分比例：根据不确定性程度预估得分百分比，并在旁边写下理由，如答案错误、步骤不完整等。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提高听课针对性：此过程能让学生在老师讲解题目时更有针对性，不再盲目听讲。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处理失分区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分析不会原因：思考题目不会的原因，如知识点是否没学过、方法是否尝试过但行不通、是否因时间不够等。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适当估辛苦分：若写了相关公式或文字，可尝试估 1 - 2 分辛苦分。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汇总分数与思考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得出预估总分：将所有估分分数相加，得到预估总分。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思考模糊题目：复盘模糊题目，思考如何争取步骤分，以及若有修改机会应优先处理哪道题，培养优先处理问题的能力。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估分记录与效果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记录估分信息</w:t>
      </w:r>
      <w:r>
        <w:rPr>
          <w:rFonts w:eastAsia="等线" w:ascii="Arial" w:cs="Arial" w:hAnsi="Arial"/>
          <w:sz w:val="22"/>
        </w:rPr>
        <w:t>：使用估分记录表，记录小测类型（月考、期中考、期末考、机构测试等）、章节、总时间、估分和实际得分。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提升考试能力</w:t>
      </w:r>
      <w:r>
        <w:rPr>
          <w:rFonts w:eastAsia="等线" w:ascii="Arial" w:cs="Arial" w:hAnsi="Arial"/>
          <w:sz w:val="22"/>
        </w:rPr>
        <w:t>：当估分与实际得分差距变小时，说明学生的能力得到训练，对考试的掌控感增强，心态也会变好。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批改的相关内容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自主完成批改</w:t>
      </w:r>
      <w:r>
        <w:rPr>
          <w:rFonts w:eastAsia="等线" w:ascii="Arial" w:cs="Arial" w:hAnsi="Arial"/>
          <w:sz w:val="22"/>
        </w:rPr>
        <w:t>：做完估分后，学生找老师要答案，自主进行批改，并将真实得分与估分情况对比。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复盘差距原因</w:t>
      </w:r>
      <w:r>
        <w:rPr>
          <w:rFonts w:eastAsia="等线" w:ascii="Arial" w:cs="Arial" w:hAnsi="Arial"/>
          <w:sz w:val="22"/>
        </w:rPr>
        <w:t>：通过对比，复盘估分和实际得分差距的原因，提高估分精准度和对考试及做题的把控能力。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适用学科及作用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文科学生：适用于历史、政治、地理、语文等文科科目，能帮助学生找到得分点丢失的原因，训练正确的答题思路、框架和严谨性。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理科学生：主要关注做题过程的步骤分，锻炼标准答案思维和阅卷者思维。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后续建议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学生应将估分和批改的流程落地实施，若有听不懂或做得不好的地方，可多听几遍课程。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接下来将进入重中之重的错题分析环节。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00:07</w:t>
        </w:r>
      </w:hyperlink>
      <w:r>
        <w:rPr>
          <w:rFonts w:eastAsia="等线" w:ascii="Arial" w:cs="Arial" w:hAnsi="Arial"/>
          <w:b w:val="true"/>
          <w:sz w:val="22"/>
        </w:rPr>
        <w:t xml:space="preserve">  学习审题做题后估分批改的重要性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在学习审题和做题后将进入估分批改过程，这本质上是训练做题习惯的过程。通过估分和批改，能让学生明确哪些分不应丢，还可不断训练对题目的把控以及对考试节奏的把控能力，此能力极为重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00:34</w:t>
        </w:r>
      </w:hyperlink>
      <w:r>
        <w:rPr>
          <w:rFonts w:eastAsia="等线" w:ascii="Arial" w:cs="Arial" w:hAnsi="Arial"/>
          <w:b w:val="true"/>
          <w:sz w:val="22"/>
        </w:rPr>
        <w:t xml:space="preserve">  估分对做题习惯养成及自我反思的作用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了估分和批改中进行估分的原因。估分可实现自我监控，答题时或结束后能不断评估思路、方法和答案，对思维过程进行监控。通过对比估分与实际分数的差异，能发现做题和考试过程中的问题，改变不良做题习惯，纠正粗心大意，养成考试和做题的好习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01:47</w:t>
        </w:r>
      </w:hyperlink>
      <w:r>
        <w:rPr>
          <w:rFonts w:eastAsia="等线" w:ascii="Arial" w:cs="Arial" w:hAnsi="Arial"/>
          <w:b w:val="true"/>
          <w:sz w:val="22"/>
        </w:rPr>
        <w:t xml:space="preserve">  考试估分操作方法及笃定区题目思考要点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估分的操作方法。第一步是在做完题或考试结束后马上复盘，思考考试整体感受、难度、时间分配等问题并记录，避免估分与实际分数差距大，这也是提分训练。之后标记笃定区，即稳拿分的题目估满分，还要思考题型是否见过、方法是否正确、计算有无复查等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03:06</w:t>
        </w:r>
      </w:hyperlink>
      <w:r>
        <w:rPr>
          <w:rFonts w:eastAsia="等线" w:ascii="Arial" w:cs="Arial" w:hAnsi="Arial"/>
          <w:b w:val="true"/>
          <w:sz w:val="22"/>
        </w:rPr>
        <w:t xml:space="preserve">  考试后估分复盘方法及目的意义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考试结束后立即复盘估分的方法及目的。先对题目估分，标记满分，重点关注模糊区题目。思考题目卡壳点、过程完整性等问题，按不确定程度预估得分并写理由。此过程是重复学习，能让后续错题分析和听课更有针对性，还能发现解题坏习惯，最后分析失分区题目不会的原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06:02</w:t>
        </w:r>
      </w:hyperlink>
      <w:r>
        <w:rPr>
          <w:rFonts w:eastAsia="等线" w:ascii="Arial" w:cs="Arial" w:hAnsi="Arial"/>
          <w:b w:val="true"/>
          <w:sz w:val="22"/>
        </w:rPr>
        <w:t xml:space="preserve">  考试估分复盘、争取步骤分及精准解题能力培养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考试后的估分与复盘方法，做完题后将各部分估分相加得预估总分，复盘思考模糊题目，培养争取步骤分的意识。还强调了锻炼优先处理问题的能力，通过思考若有修改机会会先解哪道题，训练在考试中迅速定位能拿分题目的能力，此部分十分重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07:22</w:t>
        </w:r>
      </w:hyperlink>
      <w:r>
        <w:rPr>
          <w:rFonts w:eastAsia="等线" w:ascii="Arial" w:cs="Arial" w:hAnsi="Arial"/>
          <w:b w:val="true"/>
          <w:sz w:val="22"/>
        </w:rPr>
        <w:t xml:space="preserve">  估分记录介绍及缩小估分与实分差的意义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估分记录相关内容。会提供估分记录表，记录小测类型（月考、期中考等）、总时间、用时、估分及实际得分，通过对比二者差距，当差距逐渐缩小时，表明能力得到训练，对考试能更好掌控，有助于调整考试心态，让考生不再紧张，这也是估分的目的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07:59</w:t>
        </w:r>
      </w:hyperlink>
      <w:r>
        <w:rPr>
          <w:rFonts w:eastAsia="等线" w:ascii="Arial" w:cs="Arial" w:hAnsi="Arial"/>
          <w:b w:val="true"/>
          <w:sz w:val="22"/>
        </w:rPr>
        <w:t xml:space="preserve">  自主批改训练阅卷思维并提高估分及考试把控能力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批改环节由学员自主完成，目的是训练其站在阅卷者角度思考，培养做题和考试习惯。学员做完估分后找老师要答案自行批改，将真实得分与估分对比，复盘差距原因。通过这样的训练，可提高估分精准度，增强对考试和做题时间及策略的把控能力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08:44</w:t>
        </w:r>
      </w:hyperlink>
      <w:r>
        <w:rPr>
          <w:rFonts w:eastAsia="等线" w:ascii="Arial" w:cs="Arial" w:hAnsi="Arial"/>
          <w:b w:val="true"/>
          <w:sz w:val="22"/>
        </w:rPr>
        <w:t xml:space="preserve">  文科理科估分批改要点及后续错题分析预告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估分和批改的适用情况及重要性。文科科目如历史、政治等的客观题适合通过估分和批改找得分丢失点，可训练答题思路等；理科孩子则关注做题步骤分，锻炼标准答案和阅卷者思维。最后提醒大家将估分和批改流程落地，不懂可多听课程，还引出了下一环节错题分析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：在学习过程中开展估分和批改环节，以训练做题和考试习惯。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：学生缺乏对做题过程的把控和考试节奏的把握能力，难以发现自身解题过程中的问题和不良习惯。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：说话人 1 提出通过估分和批改来解决问题，具体方案如下：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估分步骤：做完题目后马上复盘，思考考试整体情况、时间分配等问题；标记笃定区，思考题型、方法、计算过程等；分析模糊区，思考卡壳点、概念、公式等，根据不确定性预估得分；预估失分区，思考不会的原因、考察知识点等，预估 0 分或辛苦分，最后将估分相加得出总分，复盘模糊题目。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批改步骤：做完估分后找老师要答案，自主批改，对比真实得分和估分情况，分析差距原因。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：估分和批改可以让学生自我监控，发现解题过程中的问题和不良习惯，提高做题思路和考试策略的把控能力，尤其适用于文科学生训练答题思路和框架，理科学生锻炼标准答案思维和阅卷者思维。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「估分和批改本质上是训练做题习惯的过程，能提升对题目的把控和考试节奏的把控能力。」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突出了估分和批改环节的重要性，点明会议主题核心观点。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「学习的本质是重复，考完后马上进行分析和复盘，是不断重复学习的过程。」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包含独特洞察，强调了考完后及时复盘对学习的重要性。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「站在老师的角度去思考批改，能培养做题和考试的习惯。」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提供了训练做题和考试习惯的有效方法，具有新颖观点，能引发思考。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4">
        <w:r>
          <w:rPr>
            <w:rFonts w:eastAsia="等线" w:ascii="Arial" w:cs="Arial" w:hAnsi="Arial"/>
            <w:color w:val="3370ff"/>
            <w:sz w:val="22"/>
          </w:rPr>
          <w:t>18-题目问题之估分批改流程</w:t>
        </w:r>
      </w:hyperlink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18-题目问题之估分批改流程 2026年1月18日</w:t>
        </w:r>
      </w:hyperlink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1071">
    <w:lvl>
      <w:numFmt w:val="bullet"/>
      <w:suff w:val="tab"/>
      <w:lvlText w:val="•"/>
      <w:rPr>
        <w:color w:val="3370ff"/>
      </w:rPr>
    </w:lvl>
  </w:abstractNum>
  <w:abstractNum w:abstractNumId="371072">
    <w:lvl>
      <w:numFmt w:val="bullet"/>
      <w:suff w:val="tab"/>
      <w:lvlText w:val="￮"/>
      <w:rPr>
        <w:color w:val="3370ff"/>
      </w:rPr>
    </w:lvl>
  </w:abstractNum>
  <w:abstractNum w:abstractNumId="371073">
    <w:lvl>
      <w:numFmt w:val="bullet"/>
      <w:suff w:val="tab"/>
      <w:lvlText w:val="▪"/>
      <w:rPr>
        <w:color w:val="3370ff"/>
        <w:sz w:val="11"/>
      </w:rPr>
    </w:lvl>
  </w:abstractNum>
  <w:abstractNum w:abstractNumId="371074">
    <w:lvl>
      <w:numFmt w:val="bullet"/>
      <w:suff w:val="tab"/>
      <w:lvlText w:val="▪"/>
      <w:rPr>
        <w:color w:val="3370ff"/>
        <w:sz w:val="11"/>
      </w:rPr>
    </w:lvl>
  </w:abstractNum>
  <w:abstractNum w:abstractNumId="371075">
    <w:lvl>
      <w:numFmt w:val="bullet"/>
      <w:suff w:val="tab"/>
      <w:lvlText w:val="￮"/>
      <w:rPr>
        <w:color w:val="3370ff"/>
      </w:rPr>
    </w:lvl>
  </w:abstractNum>
  <w:abstractNum w:abstractNumId="371076">
    <w:lvl>
      <w:numFmt w:val="bullet"/>
      <w:suff w:val="tab"/>
      <w:lvlText w:val="•"/>
      <w:rPr>
        <w:color w:val="3370ff"/>
      </w:rPr>
    </w:lvl>
  </w:abstractNum>
  <w:abstractNum w:abstractNumId="371077">
    <w:lvl>
      <w:numFmt w:val="bullet"/>
      <w:suff w:val="tab"/>
      <w:lvlText w:val="￮"/>
      <w:rPr>
        <w:color w:val="3370ff"/>
      </w:rPr>
    </w:lvl>
  </w:abstractNum>
  <w:abstractNum w:abstractNumId="371078">
    <w:lvl>
      <w:numFmt w:val="bullet"/>
      <w:suff w:val="tab"/>
      <w:lvlText w:val="▪"/>
      <w:rPr>
        <w:color w:val="3370ff"/>
        <w:sz w:val="11"/>
      </w:rPr>
    </w:lvl>
  </w:abstractNum>
  <w:abstractNum w:abstractNumId="371079">
    <w:lvl>
      <w:numFmt w:val="bullet"/>
      <w:suff w:val="tab"/>
      <w:lvlText w:val="▪"/>
      <w:rPr>
        <w:color w:val="3370ff"/>
        <w:sz w:val="11"/>
      </w:rPr>
    </w:lvl>
  </w:abstractNum>
  <w:abstractNum w:abstractNumId="371080">
    <w:lvl>
      <w:numFmt w:val="bullet"/>
      <w:suff w:val="tab"/>
      <w:lvlText w:val="￮"/>
      <w:rPr>
        <w:color w:val="3370ff"/>
      </w:rPr>
    </w:lvl>
  </w:abstractNum>
  <w:abstractNum w:abstractNumId="371081">
    <w:lvl>
      <w:numFmt w:val="bullet"/>
      <w:suff w:val="tab"/>
      <w:lvlText w:val="▪"/>
      <w:rPr>
        <w:color w:val="3370ff"/>
        <w:sz w:val="11"/>
      </w:rPr>
    </w:lvl>
  </w:abstractNum>
  <w:abstractNum w:abstractNumId="371082">
    <w:lvl>
      <w:numFmt w:val="bullet"/>
      <w:suff w:val="tab"/>
      <w:lvlText w:val="▪"/>
      <w:rPr>
        <w:color w:val="3370ff"/>
        <w:sz w:val="11"/>
      </w:rPr>
    </w:lvl>
  </w:abstractNum>
  <w:abstractNum w:abstractNumId="371083">
    <w:lvl>
      <w:numFmt w:val="bullet"/>
      <w:suff w:val="tab"/>
      <w:lvlText w:val="▪"/>
      <w:rPr>
        <w:color w:val="3370ff"/>
        <w:sz w:val="11"/>
      </w:rPr>
    </w:lvl>
  </w:abstractNum>
  <w:abstractNum w:abstractNumId="371084">
    <w:lvl>
      <w:numFmt w:val="bullet"/>
      <w:suff w:val="tab"/>
      <w:lvlText w:val="￮"/>
      <w:rPr>
        <w:color w:val="3370ff"/>
      </w:rPr>
    </w:lvl>
  </w:abstractNum>
  <w:abstractNum w:abstractNumId="371085">
    <w:lvl>
      <w:numFmt w:val="bullet"/>
      <w:suff w:val="tab"/>
      <w:lvlText w:val="▪"/>
      <w:rPr>
        <w:color w:val="3370ff"/>
        <w:sz w:val="11"/>
      </w:rPr>
    </w:lvl>
  </w:abstractNum>
  <w:abstractNum w:abstractNumId="371086">
    <w:lvl>
      <w:numFmt w:val="bullet"/>
      <w:suff w:val="tab"/>
      <w:lvlText w:val="▪"/>
      <w:rPr>
        <w:color w:val="3370ff"/>
        <w:sz w:val="11"/>
      </w:rPr>
    </w:lvl>
  </w:abstractNum>
  <w:abstractNum w:abstractNumId="371087">
    <w:lvl>
      <w:numFmt w:val="bullet"/>
      <w:suff w:val="tab"/>
      <w:lvlText w:val="￮"/>
      <w:rPr>
        <w:color w:val="3370ff"/>
      </w:rPr>
    </w:lvl>
  </w:abstractNum>
  <w:abstractNum w:abstractNumId="371088">
    <w:lvl>
      <w:numFmt w:val="bullet"/>
      <w:suff w:val="tab"/>
      <w:lvlText w:val="▪"/>
      <w:rPr>
        <w:color w:val="3370ff"/>
        <w:sz w:val="11"/>
      </w:rPr>
    </w:lvl>
  </w:abstractNum>
  <w:abstractNum w:abstractNumId="371089">
    <w:lvl>
      <w:numFmt w:val="bullet"/>
      <w:suff w:val="tab"/>
      <w:lvlText w:val="▪"/>
      <w:rPr>
        <w:color w:val="3370ff"/>
        <w:sz w:val="11"/>
      </w:rPr>
    </w:lvl>
  </w:abstractNum>
  <w:abstractNum w:abstractNumId="371090">
    <w:lvl>
      <w:numFmt w:val="bullet"/>
      <w:suff w:val="tab"/>
      <w:lvlText w:val="•"/>
      <w:rPr>
        <w:color w:val="3370ff"/>
      </w:rPr>
    </w:lvl>
  </w:abstractNum>
  <w:abstractNum w:abstractNumId="371091">
    <w:lvl>
      <w:numFmt w:val="bullet"/>
      <w:suff w:val="tab"/>
      <w:lvlText w:val="￮"/>
      <w:rPr>
        <w:color w:val="3370ff"/>
      </w:rPr>
    </w:lvl>
  </w:abstractNum>
  <w:abstractNum w:abstractNumId="371092">
    <w:lvl>
      <w:numFmt w:val="bullet"/>
      <w:suff w:val="tab"/>
      <w:lvlText w:val="￮"/>
      <w:rPr>
        <w:color w:val="3370ff"/>
      </w:rPr>
    </w:lvl>
  </w:abstractNum>
  <w:abstractNum w:abstractNumId="371093">
    <w:lvl>
      <w:numFmt w:val="bullet"/>
      <w:suff w:val="tab"/>
      <w:lvlText w:val="•"/>
      <w:rPr>
        <w:color w:val="3370ff"/>
      </w:rPr>
    </w:lvl>
  </w:abstractNum>
  <w:abstractNum w:abstractNumId="371094">
    <w:lvl>
      <w:numFmt w:val="bullet"/>
      <w:suff w:val="tab"/>
      <w:lvlText w:val="￮"/>
      <w:rPr>
        <w:color w:val="3370ff"/>
      </w:rPr>
    </w:lvl>
  </w:abstractNum>
  <w:abstractNum w:abstractNumId="371095">
    <w:lvl>
      <w:numFmt w:val="bullet"/>
      <w:suff w:val="tab"/>
      <w:lvlText w:val="￮"/>
      <w:rPr>
        <w:color w:val="3370ff"/>
      </w:rPr>
    </w:lvl>
  </w:abstractNum>
  <w:abstractNum w:abstractNumId="371096">
    <w:lvl>
      <w:numFmt w:val="bullet"/>
      <w:suff w:val="tab"/>
      <w:lvlText w:val="￮"/>
      <w:rPr>
        <w:color w:val="3370ff"/>
      </w:rPr>
    </w:lvl>
  </w:abstractNum>
  <w:abstractNum w:abstractNumId="371097">
    <w:lvl>
      <w:numFmt w:val="bullet"/>
      <w:suff w:val="tab"/>
      <w:lvlText w:val="▪"/>
      <w:rPr>
        <w:color w:val="3370ff"/>
        <w:sz w:val="11"/>
      </w:rPr>
    </w:lvl>
  </w:abstractNum>
  <w:abstractNum w:abstractNumId="371098">
    <w:lvl>
      <w:numFmt w:val="bullet"/>
      <w:suff w:val="tab"/>
      <w:lvlText w:val="▪"/>
      <w:rPr>
        <w:color w:val="3370ff"/>
        <w:sz w:val="11"/>
      </w:rPr>
    </w:lvl>
  </w:abstractNum>
  <w:abstractNum w:abstractNumId="371099">
    <w:lvl>
      <w:numFmt w:val="bullet"/>
      <w:suff w:val="tab"/>
      <w:lvlText w:val="•"/>
      <w:rPr>
        <w:color w:val="3370ff"/>
      </w:rPr>
    </w:lvl>
  </w:abstractNum>
  <w:abstractNum w:abstractNumId="371100">
    <w:lvl>
      <w:numFmt w:val="bullet"/>
      <w:suff w:val="tab"/>
      <w:lvlText w:val="￮"/>
      <w:rPr>
        <w:color w:val="3370ff"/>
      </w:rPr>
    </w:lvl>
  </w:abstractNum>
  <w:abstractNum w:abstractNumId="371101">
    <w:lvl>
      <w:numFmt w:val="bullet"/>
      <w:suff w:val="tab"/>
      <w:lvlText w:val="￮"/>
      <w:rPr>
        <w:color w:val="3370ff"/>
      </w:rPr>
    </w:lvl>
  </w:abstractNum>
  <w:abstractNum w:abstractNumId="371102">
    <w:lvl>
      <w:numFmt w:val="bullet"/>
      <w:suff w:val="tab"/>
      <w:lvlText w:val="•"/>
      <w:rPr>
        <w:color w:val="3370ff"/>
      </w:rPr>
    </w:lvl>
  </w:abstractNum>
  <w:abstractNum w:abstractNumId="371103">
    <w:lvl>
      <w:numFmt w:val="bullet"/>
      <w:suff w:val="tab"/>
      <w:lvlText w:val="￮"/>
      <w:rPr>
        <w:color w:val="3370ff"/>
      </w:rPr>
    </w:lvl>
  </w:abstractNum>
  <w:abstractNum w:abstractNumId="371104">
    <w:lvl>
      <w:numFmt w:val="bullet"/>
      <w:suff w:val="tab"/>
      <w:lvlText w:val="￮"/>
      <w:rPr>
        <w:color w:val="3370ff"/>
      </w:rPr>
    </w:lvl>
  </w:abstractNum>
  <w:abstractNum w:abstractNumId="371105">
    <w:lvl>
      <w:numFmt w:val="bullet"/>
      <w:suff w:val="tab"/>
      <w:lvlText w:val="▪"/>
      <w:rPr>
        <w:color w:val="3370ff"/>
        <w:sz w:val="11"/>
      </w:rPr>
    </w:lvl>
  </w:abstractNum>
  <w:abstractNum w:abstractNumId="371106">
    <w:lvl>
      <w:numFmt w:val="bullet"/>
      <w:suff w:val="tab"/>
      <w:lvlText w:val="▪"/>
      <w:rPr>
        <w:color w:val="3370ff"/>
        <w:sz w:val="11"/>
      </w:rPr>
    </w:lvl>
  </w:abstractNum>
  <w:abstractNum w:abstractNumId="371107">
    <w:lvl>
      <w:numFmt w:val="bullet"/>
      <w:suff w:val="tab"/>
      <w:lvlText w:val="￮"/>
      <w:rPr>
        <w:color w:val="3370ff"/>
      </w:rPr>
    </w:lvl>
  </w:abstractNum>
  <w:abstractNum w:abstractNumId="371108">
    <w:lvl>
      <w:numFmt w:val="bullet"/>
      <w:suff w:val="tab"/>
      <w:lvlText w:val="•"/>
      <w:rPr>
        <w:color w:val="3370ff"/>
      </w:rPr>
    </w:lvl>
  </w:abstractNum>
  <w:abstractNum w:abstractNumId="371109">
    <w:lvl>
      <w:numFmt w:val="bullet"/>
      <w:suff w:val="tab"/>
      <w:lvlText w:val="•"/>
      <w:rPr>
        <w:color w:val="3370ff"/>
      </w:rPr>
    </w:lvl>
  </w:abstractNum>
  <w:abstractNum w:abstractNumId="371110">
    <w:lvl>
      <w:numFmt w:val="bullet"/>
      <w:suff w:val="tab"/>
      <w:lvlText w:val="￮"/>
      <w:rPr>
        <w:color w:val="3370ff"/>
      </w:rPr>
    </w:lvl>
  </w:abstractNum>
  <w:num w:numId="1">
    <w:abstractNumId w:val="371071"/>
  </w:num>
  <w:num w:numId="2">
    <w:abstractNumId w:val="371072"/>
  </w:num>
  <w:num w:numId="3">
    <w:abstractNumId w:val="371073"/>
  </w:num>
  <w:num w:numId="4">
    <w:abstractNumId w:val="371074"/>
  </w:num>
  <w:num w:numId="5">
    <w:abstractNumId w:val="371075"/>
  </w:num>
  <w:num w:numId="6">
    <w:abstractNumId w:val="371076"/>
  </w:num>
  <w:num w:numId="7">
    <w:abstractNumId w:val="371077"/>
  </w:num>
  <w:num w:numId="8">
    <w:abstractNumId w:val="371078"/>
  </w:num>
  <w:num w:numId="9">
    <w:abstractNumId w:val="371079"/>
  </w:num>
  <w:num w:numId="10">
    <w:abstractNumId w:val="371080"/>
  </w:num>
  <w:num w:numId="11">
    <w:abstractNumId w:val="371081"/>
  </w:num>
  <w:num w:numId="12">
    <w:abstractNumId w:val="371082"/>
  </w:num>
  <w:num w:numId="13">
    <w:abstractNumId w:val="371083"/>
  </w:num>
  <w:num w:numId="14">
    <w:abstractNumId w:val="371084"/>
  </w:num>
  <w:num w:numId="15">
    <w:abstractNumId w:val="371085"/>
  </w:num>
  <w:num w:numId="16">
    <w:abstractNumId w:val="371086"/>
  </w:num>
  <w:num w:numId="17">
    <w:abstractNumId w:val="371087"/>
  </w:num>
  <w:num w:numId="18">
    <w:abstractNumId w:val="371088"/>
  </w:num>
  <w:num w:numId="19">
    <w:abstractNumId w:val="371089"/>
  </w:num>
  <w:num w:numId="20">
    <w:abstractNumId w:val="371090"/>
  </w:num>
  <w:num w:numId="21">
    <w:abstractNumId w:val="371091"/>
  </w:num>
  <w:num w:numId="22">
    <w:abstractNumId w:val="371092"/>
  </w:num>
  <w:num w:numId="23">
    <w:abstractNumId w:val="371093"/>
  </w:num>
  <w:num w:numId="24">
    <w:abstractNumId w:val="371094"/>
  </w:num>
  <w:num w:numId="25">
    <w:abstractNumId w:val="371095"/>
  </w:num>
  <w:num w:numId="26">
    <w:abstractNumId w:val="371096"/>
  </w:num>
  <w:num w:numId="27">
    <w:abstractNumId w:val="371097"/>
  </w:num>
  <w:num w:numId="28">
    <w:abstractNumId w:val="371098"/>
  </w:num>
  <w:num w:numId="29">
    <w:abstractNumId w:val="371099"/>
  </w:num>
  <w:num w:numId="30">
    <w:abstractNumId w:val="371100"/>
  </w:num>
  <w:num w:numId="31">
    <w:abstractNumId w:val="371101"/>
  </w:num>
  <w:num w:numId="32">
    <w:abstractNumId w:val="371102"/>
  </w:num>
  <w:num w:numId="33">
    <w:abstractNumId w:val="371103"/>
  </w:num>
  <w:num w:numId="34">
    <w:abstractNumId w:val="371104"/>
  </w:num>
  <w:num w:numId="35">
    <w:abstractNumId w:val="371105"/>
  </w:num>
  <w:num w:numId="36">
    <w:abstractNumId w:val="371106"/>
  </w:num>
  <w:num w:numId="37">
    <w:abstractNumId w:val="371107"/>
  </w:num>
  <w:num w:numId="38">
    <w:abstractNumId w:val="371108"/>
  </w:num>
  <w:num w:numId="39">
    <w:abstractNumId w:val="371109"/>
  </w:num>
  <w:num w:numId="40">
    <w:abstractNumId w:val="3711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577at1265bj3a182x9?t=362000" TargetMode="External" Type="http://schemas.openxmlformats.org/officeDocument/2006/relationships/hyperlink"/><Relationship Id="rId11" Target="https://hcnytq72r1ge.feishu.cn/minutes/obcnct577at1265bj3a182x9?t=442000" TargetMode="External" Type="http://schemas.openxmlformats.org/officeDocument/2006/relationships/hyperlink"/><Relationship Id="rId12" Target="https://hcnytq72r1ge.feishu.cn/minutes/obcnct577at1265bj3a182x9?t=479000" TargetMode="External" Type="http://schemas.openxmlformats.org/officeDocument/2006/relationships/hyperlink"/><Relationship Id="rId13" Target="https://hcnytq72r1ge.feishu.cn/minutes/obcnct577at1265bj3a182x9?t=524000" TargetMode="External" Type="http://schemas.openxmlformats.org/officeDocument/2006/relationships/hyperlink"/><Relationship Id="rId14" Target="https://hcnytq72r1ge.feishu.cn/minutes/obcnct577at1265bj3a182x9?from=ai_minutes" TargetMode="External" Type="http://schemas.openxmlformats.org/officeDocument/2006/relationships/hyperlink"/><Relationship Id="rId15" Target="https://hcnytq72r1ge.feishu.cn/docx/ZlkHd7IFyodt2Bx3ee4cUi0rnLh" TargetMode="External" Type="http://schemas.openxmlformats.org/officeDocument/2006/relationships/hyperlink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ct577at1265bj3a182x9?t=7000" TargetMode="External" Type="http://schemas.openxmlformats.org/officeDocument/2006/relationships/hyperlink"/><Relationship Id="rId7" Target="https://hcnytq72r1ge.feishu.cn/minutes/obcnct577at1265bj3a182x9?t=34000" TargetMode="External" Type="http://schemas.openxmlformats.org/officeDocument/2006/relationships/hyperlink"/><Relationship Id="rId8" Target="https://hcnytq72r1ge.feishu.cn/minutes/obcnct577at1265bj3a182x9?t=107000" TargetMode="External" Type="http://schemas.openxmlformats.org/officeDocument/2006/relationships/hyperlink"/><Relationship Id="rId9" Target="https://hcnytq72r1ge.feishu.cn/minutes/obcnct577at1265bj3a182x9?t=186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2026-01-18T16:27:22Z</dcterms:created>
  <dc:creator>Apache POI</dc:creator>
</cp:coreProperties>
</file>