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智能纪要：22-如何高效及深度预习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会议主题：22-如何高效及深度预习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52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本次会议围绕学习中的预习环节展开，详细讲解了高效深度预习的方法、不同时间的预习安排以及预习的重要性，旨在帮助学习者掌握正确预习方式，提升学习效率，内容如下：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高效深度预习的方法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预习与穿透的区别</w:t>
      </w:r>
      <w:r>
        <w:rPr>
          <w:rFonts w:eastAsia="等线" w:ascii="Arial" w:cs="Arial" w:hAnsi="Arial"/>
          <w:sz w:val="22"/>
        </w:rPr>
        <w:t>：说话人1指出，深度预习的核心是回归课本提前看知识点，与穿透动作基本相同，但目的不同。穿透是解决问题，而预习是发现问题。穿透要花大量时间解决，预习只需快速标记问题，将问题带到课堂解决，发现问题即成功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预习的步骤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准备阶段：预习前5分钟进行准备，告知自己任务是做问题侦探，准备好预习清单、课本、笔和计时器，简单准备后开始目标预览。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目标预览：用1分钟快速阅览章节标题、小标题、粗体字、图表和课后小结，思考整节课内容，总结出大概内容，开启深度预习。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深度预习三步法</w:t>
      </w:r>
    </w:p>
    <w:p>
      <w:pPr>
        <w:numPr>
          <w:numId w:val="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通读扫描标记可疑点：像看小说一样通读课本，标记看不懂的（打问号）、感觉重要的（标星号）、模糊的（标三角形）、关键定义或结论（画直线）。主动思考概念、公式推导、前置知识点等，尝试做例题，思考知识点运用。</w:t>
      </w:r>
    </w:p>
    <w:p>
      <w:pPr>
        <w:numPr>
          <w:numId w:val="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整理归纳形成问题清单：将不会的、模糊的问题分类记录到预习清单，总结自认为的核心知识点，完成预习，通常十几分钟可完成一个科目。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152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高效深度预习步骤</w:t>
        <w:br/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预习清单的使用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记录问题类型：预习清单用于记录不懂的问题，包括概念定义问题（如什么是函数、集合等）、公式推导问题（如勾股定理的推导）、前置知识点问题（如四分体涉及的减数分裂等）、例题思考（知识点的运用）以及课堂产生的新问题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复习针对性：复习时打开预习清单，解决未解决的问题，标记已解决问题，使复习有重点，提升成绩和效率。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不同学科的预习要点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数理学科</w:t>
            </w:r>
            <w:r>
              <w:rPr>
                <w:rFonts w:eastAsia="等线" w:ascii="Arial" w:cs="Arial" w:hAnsi="Arial"/>
                <w:sz w:val="22"/>
              </w:rPr>
              <w:t>：按照上述深度预习方法，关注概念、公式推导、例题和课后题，通过思考和标记问题，提升对知识点的理解和掌握。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语言类学科（语文和英语）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解决前置知识点：提前解决章节内的单词问题，如语文文言文词汇、英语新单词。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课文预习：提前阅读课文，记录不熟悉的词汇并记熟，提前进行课文翻译，精确到每个单词和词组的意思，熟读课文，跟上课堂节奏，积累学习兴趣。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13049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不同学科预习要点对比</w:t>
              <w:br/>
            </w:r>
          </w:p>
        </w:tc>
      </w:tr>
    </w:tbl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预习的时间安排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学期预习（寒暑假）</w:t>
      </w:r>
      <w:r>
        <w:rPr>
          <w:rFonts w:eastAsia="等线" w:ascii="Arial" w:cs="Arial" w:hAnsi="Arial"/>
          <w:sz w:val="22"/>
        </w:rPr>
        <w:t>：寒暑假是弯道超车的好机会，提前学习全科知识点，列出每个章节的问题，学的越多后续学习越轻松。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周末预习</w:t>
      </w:r>
      <w:r>
        <w:rPr>
          <w:rFonts w:eastAsia="等线" w:ascii="Arial" w:cs="Arial" w:hAnsi="Arial"/>
          <w:sz w:val="22"/>
        </w:rPr>
        <w:t>：可选择在机构按照布置的任务进行预习，若预习情况良好，也可在家完成预习，再到机构完成其他任务，具体与教练沟通。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日预习</w:t>
      </w:r>
      <w:r>
        <w:rPr>
          <w:rFonts w:eastAsia="等线" w:ascii="Arial" w:cs="Arial" w:hAnsi="Arial"/>
          <w:sz w:val="22"/>
        </w:rPr>
        <w:t>：每天晚上用两三分钟或三四分钟简单浏览预习清单，重新思考问题，看书准备第二天上课内容。课前拿出预习清单，明确核心问题并圈出，在老师未讲之前完成4遍学习，提升复习效率。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预习的重要性及时间分配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学习本质与预习关系</w:t>
      </w:r>
      <w:r>
        <w:rPr>
          <w:rFonts w:eastAsia="等线" w:ascii="Arial" w:cs="Arial" w:hAnsi="Arial"/>
          <w:sz w:val="22"/>
        </w:rPr>
        <w:t>：说话人1认为，没有时间预习是因为没有预习导致的，预习本质是自学，是学习的目标和指南，能大大提升学习效率。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时间分配原则</w:t>
      </w:r>
      <w:r>
        <w:rPr>
          <w:rFonts w:eastAsia="等线" w:ascii="Arial" w:cs="Arial" w:hAnsi="Arial"/>
          <w:sz w:val="22"/>
        </w:rPr>
        <w:t>：遵循预习＞复习＞作业的原则，预习可保证新知识点不落下，使复习内容减少，对知识点掌握更清晰，作业完成更高效，形成学习正循环。避免为做题而做题，掌控学习时间，提升学习效果。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老师给大家发放预习清单，以便于记录问题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00:09</w:t>
        </w:r>
      </w:hyperlink>
      <w:r>
        <w:rPr>
          <w:rFonts w:eastAsia="等线" w:ascii="Arial" w:cs="Arial" w:hAnsi="Arial"/>
          <w:b w:val="true"/>
          <w:sz w:val="22"/>
        </w:rPr>
        <w:t xml:space="preserve">  讲解预习的核心目的、方法及与穿透的区别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预习相关内容，指出多数人预习存在囫囵吞枣、漫无目的、深度和效率不足的问题。重点介绍深度预习和高效预习，强调深度预习核心是回归课本，动作与穿透类似，如看概念、定义、推导公式等，但穿透是解决问题，预习是发现问题并做好记录，留待上课解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01:44</w:t>
        </w:r>
      </w:hyperlink>
      <w:r>
        <w:rPr>
          <w:rFonts w:eastAsia="等线" w:ascii="Arial" w:cs="Arial" w:hAnsi="Arial"/>
          <w:b w:val="true"/>
          <w:sz w:val="22"/>
        </w:rPr>
        <w:t xml:space="preserve">  高效预习与穿透的区别及预习的要点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高效预习与穿透的区别，指出穿透需花大量时间解决问题，而预习要快速，关键在于标记问题而非解决问题。强调预习时只要发现问题就是成功，这些问题如同宝藏，将其带到课堂，能让课堂变得专注且高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02:05</w:t>
        </w:r>
      </w:hyperlink>
      <w:r>
        <w:rPr>
          <w:rFonts w:eastAsia="等线" w:ascii="Arial" w:cs="Arial" w:hAnsi="Arial"/>
          <w:b w:val="true"/>
          <w:sz w:val="22"/>
        </w:rPr>
        <w:t xml:space="preserve">  预习前5分钟准备及目标预览介绍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预习步骤。首先是预习前5分钟的准备，可自我暗示任务是成为优秀的问题侦探、找出问题，同时准备好预习材料，如预习清单、课本、笔、计时器等，这里的5分钟并非固定时长，简单准备后就可开始目标预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02:30</w:t>
        </w:r>
      </w:hyperlink>
      <w:r>
        <w:rPr>
          <w:rFonts w:eastAsia="等线" w:ascii="Arial" w:cs="Arial" w:hAnsi="Arial"/>
          <w:b w:val="true"/>
          <w:sz w:val="22"/>
        </w:rPr>
        <w:t xml:space="preserve">  目标预览含义、做法及学习思考方式说明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目标预览的概念，即快速阅览章节的标题、小标题、粗体字图表和课后小结等，从头到尾通读一遍，思考整节课的内容，类似以前的预习。强调学习过程是思考过程，而思考过程就是不断自我提问的过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03:01</w:t>
        </w:r>
      </w:hyperlink>
      <w:r>
        <w:rPr>
          <w:rFonts w:eastAsia="等线" w:ascii="Arial" w:cs="Arial" w:hAnsi="Arial"/>
          <w:b w:val="true"/>
          <w:sz w:val="22"/>
        </w:rPr>
        <w:t xml:space="preserve">  三步预习法及带着问题清单高效听课方法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学习中预习的方法。预习前先通读章节标题、小标题等了解大概内容。接着用三步预习法，一是通读扫描标记可疑点；二是穿透思考，思考概念、公式推导及前置知识点等；三是整理归纳，形成问题清单，记录不会和模糊的内容。完成后带着问题清单听课，集中注意力解决问题，十几分钟可完成一科预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06:16</w:t>
        </w:r>
      </w:hyperlink>
      <w:r>
        <w:rPr>
          <w:rFonts w:eastAsia="等线" w:ascii="Arial" w:cs="Arial" w:hAnsi="Arial"/>
          <w:b w:val="true"/>
          <w:sz w:val="22"/>
        </w:rPr>
        <w:t xml:space="preserve">  强调预习及课后问题解决对学习的重要性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课后要针对预习问题清单检查问题是否在课上解决，解决的打勾，未解决的及时问老师或同学直至弄懂，以实现快速穿透。指出因未预习、自学和复习导致没时间，若各环节做好，时间会增多，问题会减少。还说明以前落下的知识点需穿透，新知识点有预习能在课后快速穿透，学习会更轻松有成就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07:38</w:t>
        </w:r>
      </w:hyperlink>
      <w:r>
        <w:rPr>
          <w:rFonts w:eastAsia="等线" w:ascii="Arial" w:cs="Arial" w:hAnsi="Arial"/>
          <w:b w:val="true"/>
          <w:sz w:val="22"/>
        </w:rPr>
        <w:t xml:space="preserve">  预习清单记录问题及复习提效方法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预习清单的使用方法。清单涵盖概念定义问题，如函数、集合等概念；公式推导，像勾股定理的推导；前置知识，记录相关知识点；例题思考，记下不懂的问题；课堂新问题，记录课堂产生的疑问。每章问题记录在清单上，复习时针对未解决问题逐一解决，解决后标记，可提高复习效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10:08</w:t>
        </w:r>
      </w:hyperlink>
      <w:r>
        <w:rPr>
          <w:rFonts w:eastAsia="等线" w:ascii="Arial" w:cs="Arial" w:hAnsi="Arial"/>
          <w:b w:val="true"/>
          <w:sz w:val="22"/>
        </w:rPr>
        <w:t xml:space="preserve">  语文和英语预习方法及提升听课效果建议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语文和英语预习清单。语文和英语都属语言类科目，预习核心是提前解决该章节单词，如文言文字词、英语新词汇。要提前看课文，记录并记熟不熟悉词汇，做好课文翻译，熟读课文。英语翻译要精确到单词、词组，可用翻译笔。上课做好新问题记录，下课及时解决，这样能跟上课堂节奏、积累兴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12:09</w:t>
        </w:r>
      </w:hyperlink>
      <w:r>
        <w:rPr>
          <w:rFonts w:eastAsia="等线" w:ascii="Arial" w:cs="Arial" w:hAnsi="Arial"/>
          <w:b w:val="true"/>
          <w:sz w:val="22"/>
        </w:rPr>
        <w:t xml:space="preserve">  高效深度预习方法及寒暑假、周末预习建议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预习的时间点。在掌握高效预习（发现问题不解决）及预习三步法后，提出两个预习时间：一是寒暑假，这是弯道超车的好时机，可提前学完全科知识并列出章节问题；二是周末，可来机构按布置任务预习，若预习好不想浪费时间，也可在家预习，再与教练沟通后续方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13:20</w:t>
        </w:r>
      </w:hyperlink>
      <w:r>
        <w:rPr>
          <w:rFonts w:eastAsia="等线" w:ascii="Arial" w:cs="Arial" w:hAnsi="Arial"/>
          <w:b w:val="true"/>
          <w:sz w:val="22"/>
        </w:rPr>
        <w:t xml:space="preserve">  课前多次重复预习，提升学习效率变轻松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要注重每日预习，每晚花两三到三四分钟浏览预习清单、看书并思考，课前明确核心问题。在老师开讲前，新知识点已学4遍，多次重复能让人熟练，使学习变得轻松舒服，还可提升复习效率。学习核心就是大量重复，将动作养成习惯并落地到位，无论当前成绩如何，都可能取得好结果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14:46</w:t>
        </w:r>
      </w:hyperlink>
      <w:r>
        <w:rPr>
          <w:rFonts w:eastAsia="等线" w:ascii="Arial" w:cs="Arial" w:hAnsi="Arial"/>
          <w:b w:val="true"/>
          <w:sz w:val="22"/>
        </w:rPr>
        <w:t xml:space="preserve">  强调预习重要性及学习环节优先级顺序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没有时间预习的问题，强调预习的本质是自学，是学习的目标和指南，能提升学习效率。指出没有时间预习是因未预习所致，应遵循“预习大于复习大于作业”的公式。不预习会导致复习和作业花费大量时间且效果不佳，若想掌控学习、拥有更多自主时间，需吃透预习和复习等环节。最后准备进入听课环节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：采用高效且深度的预习方法，合理安排预习时间，提升学习效率。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：学生预习时存在深度不够、效率不高，导致学习时间紧张、跟不上课程节奏等问题。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高效和深度预习的方法，包括明确预习目的是发现问题，与穿透的区别在于不解决问题；介绍了预习的步骤，如预习前准备、目标预览、深度预习三步法（通读扫描标记可疑点、主动思考、整理归纳形成问题清单）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针对不同科目给出预习建议，如理科注重概念、公式推导、前置知识点等，文科语言类提前解决单词、翻译课文等。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提出不同时间点的预习安排，寒暑假提前学全科，周末可在机构或家里预习，日预习为每天晚上简单浏览和课前明确核心问题。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：通过高效深度预习，能提前发现问题，带着问题听课更专注，课后能快速完成穿透，减少复习和作业时间，形成学习的正循环，提升学习效率和成绩。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老师会发放预习清单，学生记录不懂的问题，包括概念定义、公式推导、前置知识、知识点运用等方面的问题。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上课产生的新问题要做好记录，下课及时解决。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复习时针对预习清单上未解决的问题进行重点解决。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「预习只要发现问题就是成功，这些问题都是宝藏，把这些问题带到课堂里面，你的课堂就会足够的专注和高效。」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突出了预习的核心目的是发现问题，强调了带着问题上课能提高课堂效率，是关于预习的重要观点。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「学习的核心就是大量的重复，在老师还没开始讲之前，你已经学了 4 遍了，可以大大提升后续的复习效率。」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阐述了学习的核心在于大量重复，多次预习能让学生在老师授课前熟悉知识点，提高复习效率，具有独特的洞察。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「预习大于复习大于作业，把预习、复习一个一个点地吃透，让这些飞轮转起来，才能掌控学习，拥有更多自己的时间。」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明确了预习、复习和作业的重要性排序，强调了做好预习等环节能形成学习正循环，掌控学习时间，是具有决定性的发言。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9">
        <w:r>
          <w:rPr>
            <w:rFonts w:eastAsia="等线" w:ascii="Arial" w:cs="Arial" w:hAnsi="Arial"/>
            <w:color w:val="3370ff"/>
            <w:sz w:val="22"/>
          </w:rPr>
          <w:t>22-如何高效及深度预习</w:t>
        </w:r>
      </w:hyperlink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22-如何高效及深度预习 2026年1月18日</w:t>
        </w:r>
      </w:hyperlink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5376">
    <w:lvl>
      <w:numFmt w:val="bullet"/>
      <w:suff w:val="tab"/>
      <w:lvlText w:val="•"/>
      <w:rPr>
        <w:color w:val="3370ff"/>
      </w:rPr>
    </w:lvl>
  </w:abstractNum>
  <w:abstractNum w:abstractNumId="685377">
    <w:lvl>
      <w:numFmt w:val="bullet"/>
      <w:suff w:val="tab"/>
      <w:lvlText w:val="￮"/>
      <w:rPr>
        <w:color w:val="3370ff"/>
      </w:rPr>
    </w:lvl>
  </w:abstractNum>
  <w:abstractNum w:abstractNumId="685378">
    <w:lvl>
      <w:numFmt w:val="bullet"/>
      <w:suff w:val="tab"/>
      <w:lvlText w:val="￮"/>
      <w:rPr>
        <w:color w:val="3370ff"/>
      </w:rPr>
    </w:lvl>
  </w:abstractNum>
  <w:abstractNum w:abstractNumId="685379">
    <w:lvl>
      <w:numFmt w:val="bullet"/>
      <w:suff w:val="tab"/>
      <w:lvlText w:val="▪"/>
      <w:rPr>
        <w:color w:val="3370ff"/>
        <w:sz w:val="11"/>
      </w:rPr>
    </w:lvl>
  </w:abstractNum>
  <w:abstractNum w:abstractNumId="685380">
    <w:lvl>
      <w:numFmt w:val="bullet"/>
      <w:suff w:val="tab"/>
      <w:lvlText w:val="▪"/>
      <w:rPr>
        <w:color w:val="3370ff"/>
        <w:sz w:val="11"/>
      </w:rPr>
    </w:lvl>
  </w:abstractNum>
  <w:abstractNum w:abstractNumId="685381">
    <w:lvl>
      <w:numFmt w:val="bullet"/>
      <w:suff w:val="tab"/>
      <w:lvlText w:val="▪"/>
      <w:rPr>
        <w:color w:val="3370ff"/>
        <w:sz w:val="11"/>
      </w:rPr>
    </w:lvl>
  </w:abstractNum>
  <w:abstractNum w:abstractNumId="685382">
    <w:lvl>
      <w:numFmt w:val="bullet"/>
      <w:suff w:val="tab"/>
      <w:lvlText w:val="•"/>
      <w:rPr>
        <w:color w:val="3370ff"/>
      </w:rPr>
    </w:lvl>
  </w:abstractNum>
  <w:abstractNum w:abstractNumId="685383">
    <w:lvl>
      <w:numFmt w:val="bullet"/>
      <w:suff w:val="tab"/>
      <w:lvlText w:val="•"/>
      <w:rPr>
        <w:color w:val="3370ff"/>
      </w:rPr>
    </w:lvl>
  </w:abstractNum>
  <w:abstractNum w:abstractNumId="685384">
    <w:lvl>
      <w:numFmt w:val="bullet"/>
      <w:suff w:val="tab"/>
      <w:lvlText w:val="￮"/>
      <w:rPr>
        <w:color w:val="3370ff"/>
      </w:rPr>
    </w:lvl>
  </w:abstractNum>
  <w:abstractNum w:abstractNumId="685385">
    <w:lvl>
      <w:numFmt w:val="bullet"/>
      <w:suff w:val="tab"/>
      <w:lvlText w:val="▪"/>
      <w:rPr>
        <w:color w:val="3370ff"/>
        <w:sz w:val="11"/>
      </w:rPr>
    </w:lvl>
  </w:abstractNum>
  <w:abstractNum w:abstractNumId="685386">
    <w:lvl>
      <w:numFmt w:val="bullet"/>
      <w:suff w:val="tab"/>
      <w:lvlText w:val="▪"/>
      <w:rPr>
        <w:color w:val="3370ff"/>
        <w:sz w:val="11"/>
      </w:rPr>
    </w:lvl>
  </w:abstractNum>
  <w:abstractNum w:abstractNumId="685387">
    <w:lvl>
      <w:numFmt w:val="bullet"/>
      <w:suff w:val="tab"/>
      <w:lvlText w:val="•"/>
      <w:rPr>
        <w:color w:val="3370ff"/>
      </w:rPr>
    </w:lvl>
  </w:abstractNum>
  <w:abstractNum w:abstractNumId="685388">
    <w:lvl>
      <w:numFmt w:val="bullet"/>
      <w:suff w:val="tab"/>
      <w:lvlText w:val="•"/>
      <w:rPr>
        <w:color w:val="3370ff"/>
      </w:rPr>
    </w:lvl>
  </w:abstractNum>
  <w:abstractNum w:abstractNumId="685389">
    <w:lvl>
      <w:numFmt w:val="bullet"/>
      <w:suff w:val="tab"/>
      <w:lvlText w:val="•"/>
      <w:rPr>
        <w:color w:val="3370ff"/>
      </w:rPr>
    </w:lvl>
  </w:abstractNum>
  <w:abstractNum w:abstractNumId="685390">
    <w:lvl>
      <w:numFmt w:val="bullet"/>
      <w:suff w:val="tab"/>
      <w:lvlText w:val="￮"/>
      <w:rPr>
        <w:color w:val="3370ff"/>
      </w:rPr>
    </w:lvl>
  </w:abstractNum>
  <w:abstractNum w:abstractNumId="685391">
    <w:lvl>
      <w:numFmt w:val="bullet"/>
      <w:suff w:val="tab"/>
      <w:lvlText w:val="￮"/>
      <w:rPr>
        <w:color w:val="3370ff"/>
      </w:rPr>
    </w:lvl>
  </w:abstractNum>
  <w:abstractNum w:abstractNumId="685392">
    <w:lvl>
      <w:numFmt w:val="bullet"/>
      <w:suff w:val="tab"/>
      <w:lvlText w:val="•"/>
      <w:rPr>
        <w:color w:val="3370ff"/>
      </w:rPr>
    </w:lvl>
  </w:abstractNum>
  <w:abstractNum w:abstractNumId="685393">
    <w:lvl>
      <w:numFmt w:val="bullet"/>
      <w:suff w:val="tab"/>
      <w:lvlText w:val="￮"/>
      <w:rPr>
        <w:color w:val="3370ff"/>
      </w:rPr>
    </w:lvl>
  </w:abstractNum>
  <w:abstractNum w:abstractNumId="685394">
    <w:lvl>
      <w:numFmt w:val="bullet"/>
      <w:suff w:val="tab"/>
      <w:lvlText w:val="￮"/>
      <w:rPr>
        <w:color w:val="3370ff"/>
      </w:rPr>
    </w:lvl>
  </w:abstractNum>
  <w:abstractNum w:abstractNumId="685395">
    <w:lvl>
      <w:numFmt w:val="bullet"/>
      <w:suff w:val="tab"/>
      <w:lvlText w:val="￮"/>
      <w:rPr>
        <w:color w:val="3370ff"/>
      </w:rPr>
    </w:lvl>
  </w:abstractNum>
  <w:abstractNum w:abstractNumId="685396">
    <w:lvl>
      <w:numFmt w:val="bullet"/>
      <w:suff w:val="tab"/>
      <w:lvlText w:val="•"/>
      <w:rPr>
        <w:color w:val="3370ff"/>
      </w:rPr>
    </w:lvl>
  </w:abstractNum>
  <w:abstractNum w:abstractNumId="685397">
    <w:lvl>
      <w:numFmt w:val="bullet"/>
      <w:suff w:val="tab"/>
      <w:lvlText w:val="￮"/>
      <w:rPr>
        <w:color w:val="3370ff"/>
      </w:rPr>
    </w:lvl>
  </w:abstractNum>
  <w:abstractNum w:abstractNumId="685398">
    <w:lvl>
      <w:numFmt w:val="bullet"/>
      <w:suff w:val="tab"/>
      <w:lvlText w:val="￮"/>
      <w:rPr>
        <w:color w:val="3370ff"/>
      </w:rPr>
    </w:lvl>
  </w:abstractNum>
  <w:abstractNum w:abstractNumId="685399">
    <w:lvl>
      <w:numFmt w:val="bullet"/>
      <w:suff w:val="space"/>
      <w:lvlText w:val="□"/>
    </w:lvl>
  </w:abstractNum>
  <w:abstractNum w:abstractNumId="685400">
    <w:lvl>
      <w:numFmt w:val="bullet"/>
      <w:suff w:val="tab"/>
      <w:lvlText w:val="•"/>
      <w:rPr>
        <w:color w:val="3370ff"/>
      </w:rPr>
    </w:lvl>
  </w:abstractNum>
  <w:abstractNum w:abstractNumId="685401">
    <w:lvl>
      <w:numFmt w:val="bullet"/>
      <w:suff w:val="tab"/>
      <w:lvlText w:val="￮"/>
      <w:rPr>
        <w:color w:val="3370ff"/>
      </w:rPr>
    </w:lvl>
  </w:abstractNum>
  <w:abstractNum w:abstractNumId="685402">
    <w:lvl>
      <w:numFmt w:val="bullet"/>
      <w:suff w:val="tab"/>
      <w:lvlText w:val="￮"/>
      <w:rPr>
        <w:color w:val="3370ff"/>
      </w:rPr>
    </w:lvl>
  </w:abstractNum>
  <w:abstractNum w:abstractNumId="685403">
    <w:lvl>
      <w:numFmt w:val="bullet"/>
      <w:suff w:val="tab"/>
      <w:lvlText w:val="▪"/>
      <w:rPr>
        <w:color w:val="3370ff"/>
        <w:sz w:val="11"/>
      </w:rPr>
    </w:lvl>
  </w:abstractNum>
  <w:abstractNum w:abstractNumId="685404">
    <w:lvl>
      <w:numFmt w:val="bullet"/>
      <w:suff w:val="tab"/>
      <w:lvlText w:val="▪"/>
      <w:rPr>
        <w:color w:val="3370ff"/>
        <w:sz w:val="11"/>
      </w:rPr>
    </w:lvl>
  </w:abstractNum>
  <w:abstractNum w:abstractNumId="685405">
    <w:lvl>
      <w:numFmt w:val="bullet"/>
      <w:suff w:val="tab"/>
      <w:lvlText w:val="▪"/>
      <w:rPr>
        <w:color w:val="3370ff"/>
        <w:sz w:val="11"/>
      </w:rPr>
    </w:lvl>
  </w:abstractNum>
  <w:abstractNum w:abstractNumId="685406">
    <w:lvl>
      <w:numFmt w:val="bullet"/>
      <w:suff w:val="tab"/>
      <w:lvlText w:val="￮"/>
      <w:rPr>
        <w:color w:val="3370ff"/>
      </w:rPr>
    </w:lvl>
  </w:abstractNum>
  <w:abstractNum w:abstractNumId="685407">
    <w:lvl>
      <w:numFmt w:val="bullet"/>
      <w:suff w:val="tab"/>
      <w:lvlText w:val="•"/>
      <w:rPr>
        <w:color w:val="3370ff"/>
      </w:rPr>
    </w:lvl>
  </w:abstractNum>
  <w:abstractNum w:abstractNumId="685408">
    <w:lvl>
      <w:start w:val="1"/>
      <w:numFmt w:val="lowerLetter"/>
      <w:suff w:val="tab"/>
      <w:lvlText w:val="%1."/>
      <w:rPr>
        <w:color w:val="3370ff"/>
      </w:rPr>
    </w:lvl>
  </w:abstractNum>
  <w:abstractNum w:abstractNumId="685409">
    <w:lvl>
      <w:start w:val="2"/>
      <w:numFmt w:val="lowerLetter"/>
      <w:suff w:val="tab"/>
      <w:lvlText w:val="%1."/>
      <w:rPr>
        <w:color w:val="3370ff"/>
      </w:rPr>
    </w:lvl>
  </w:abstractNum>
  <w:abstractNum w:abstractNumId="685410">
    <w:lvl>
      <w:start w:val="3"/>
      <w:numFmt w:val="lowerLetter"/>
      <w:suff w:val="tab"/>
      <w:lvlText w:val="%1."/>
      <w:rPr>
        <w:color w:val="3370ff"/>
      </w:rPr>
    </w:lvl>
  </w:abstractNum>
  <w:abstractNum w:abstractNumId="685411">
    <w:lvl>
      <w:numFmt w:val="bullet"/>
      <w:suff w:val="tab"/>
      <w:lvlText w:val="•"/>
      <w:rPr>
        <w:color w:val="3370ff"/>
      </w:rPr>
    </w:lvl>
  </w:abstractNum>
  <w:abstractNum w:abstractNumId="685412">
    <w:lvl>
      <w:numFmt w:val="bullet"/>
      <w:suff w:val="tab"/>
      <w:lvlText w:val="•"/>
      <w:rPr>
        <w:color w:val="3370ff"/>
      </w:rPr>
    </w:lvl>
  </w:abstractNum>
  <w:abstractNum w:abstractNumId="685413">
    <w:lvl>
      <w:numFmt w:val="bullet"/>
      <w:suff w:val="tab"/>
      <w:lvlText w:val="￮"/>
      <w:rPr>
        <w:color w:val="3370ff"/>
      </w:rPr>
    </w:lvl>
  </w:abstractNum>
  <w:num w:numId="1">
    <w:abstractNumId w:val="685376"/>
  </w:num>
  <w:num w:numId="2">
    <w:abstractNumId w:val="685377"/>
  </w:num>
  <w:num w:numId="3">
    <w:abstractNumId w:val="685378"/>
  </w:num>
  <w:num w:numId="4">
    <w:abstractNumId w:val="685379"/>
  </w:num>
  <w:num w:numId="5">
    <w:abstractNumId w:val="685380"/>
  </w:num>
  <w:num w:numId="6">
    <w:abstractNumId w:val="685381"/>
  </w:num>
  <w:num w:numId="7">
    <w:abstractNumId w:val="685382"/>
  </w:num>
  <w:num w:numId="8">
    <w:abstractNumId w:val="685383"/>
  </w:num>
  <w:num w:numId="9">
    <w:abstractNumId w:val="685384"/>
  </w:num>
  <w:num w:numId="10">
    <w:abstractNumId w:val="685385"/>
  </w:num>
  <w:num w:numId="11">
    <w:abstractNumId w:val="685386"/>
  </w:num>
  <w:num w:numId="12">
    <w:abstractNumId w:val="685387"/>
  </w:num>
  <w:num w:numId="13">
    <w:abstractNumId w:val="685388"/>
  </w:num>
  <w:num w:numId="14">
    <w:abstractNumId w:val="685389"/>
  </w:num>
  <w:num w:numId="15">
    <w:abstractNumId w:val="685390"/>
  </w:num>
  <w:num w:numId="16">
    <w:abstractNumId w:val="685391"/>
  </w:num>
  <w:num w:numId="17">
    <w:abstractNumId w:val="685392"/>
  </w:num>
  <w:num w:numId="18">
    <w:abstractNumId w:val="685393"/>
  </w:num>
  <w:num w:numId="19">
    <w:abstractNumId w:val="685394"/>
  </w:num>
  <w:num w:numId="20">
    <w:abstractNumId w:val="685395"/>
  </w:num>
  <w:num w:numId="21">
    <w:abstractNumId w:val="685396"/>
  </w:num>
  <w:num w:numId="22">
    <w:abstractNumId w:val="685397"/>
  </w:num>
  <w:num w:numId="23">
    <w:abstractNumId w:val="685398"/>
  </w:num>
  <w:num w:numId="24">
    <w:abstractNumId w:val="685399"/>
  </w:num>
  <w:num w:numId="25">
    <w:abstractNumId w:val="685400"/>
  </w:num>
  <w:num w:numId="26">
    <w:abstractNumId w:val="685401"/>
  </w:num>
  <w:num w:numId="27">
    <w:abstractNumId w:val="685402"/>
  </w:num>
  <w:num w:numId="28">
    <w:abstractNumId w:val="685403"/>
  </w:num>
  <w:num w:numId="29">
    <w:abstractNumId w:val="685404"/>
  </w:num>
  <w:num w:numId="30">
    <w:abstractNumId w:val="685405"/>
  </w:num>
  <w:num w:numId="31">
    <w:abstractNumId w:val="685406"/>
  </w:num>
  <w:num w:numId="32">
    <w:abstractNumId w:val="685407"/>
  </w:num>
  <w:num w:numId="33">
    <w:abstractNumId w:val="685408"/>
  </w:num>
  <w:num w:numId="34">
    <w:abstractNumId w:val="685409"/>
  </w:num>
  <w:num w:numId="35">
    <w:abstractNumId w:val="685410"/>
  </w:num>
  <w:num w:numId="36">
    <w:abstractNumId w:val="685411"/>
  </w:num>
  <w:num w:numId="37">
    <w:abstractNumId w:val="685412"/>
  </w:num>
  <w:num w:numId="38">
    <w:abstractNumId w:val="6854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pbe794c1rh449hf5bi?t=125000" TargetMode="External" Type="http://schemas.openxmlformats.org/officeDocument/2006/relationships/hyperlink"/><Relationship Id="rId11" Target="https://hcnytq72r1ge.feishu.cn/minutes/obcnctpbe794c1rh449hf5bi?t=150000" TargetMode="External" Type="http://schemas.openxmlformats.org/officeDocument/2006/relationships/hyperlink"/><Relationship Id="rId12" Target="https://hcnytq72r1ge.feishu.cn/minutes/obcnctpbe794c1rh449hf5bi?t=181000" TargetMode="External" Type="http://schemas.openxmlformats.org/officeDocument/2006/relationships/hyperlink"/><Relationship Id="rId13" Target="https://hcnytq72r1ge.feishu.cn/minutes/obcnctpbe794c1rh449hf5bi?t=376000" TargetMode="External" Type="http://schemas.openxmlformats.org/officeDocument/2006/relationships/hyperlink"/><Relationship Id="rId14" Target="https://hcnytq72r1ge.feishu.cn/minutes/obcnctpbe794c1rh449hf5bi?t=458000" TargetMode="External" Type="http://schemas.openxmlformats.org/officeDocument/2006/relationships/hyperlink"/><Relationship Id="rId15" Target="https://hcnytq72r1ge.feishu.cn/minutes/obcnctpbe794c1rh449hf5bi?t=608000" TargetMode="External" Type="http://schemas.openxmlformats.org/officeDocument/2006/relationships/hyperlink"/><Relationship Id="rId16" Target="https://hcnytq72r1ge.feishu.cn/minutes/obcnctpbe794c1rh449hf5bi?t=729000" TargetMode="External" Type="http://schemas.openxmlformats.org/officeDocument/2006/relationships/hyperlink"/><Relationship Id="rId17" Target="https://hcnytq72r1ge.feishu.cn/minutes/obcnctpbe794c1rh449hf5bi?t=800000" TargetMode="External" Type="http://schemas.openxmlformats.org/officeDocument/2006/relationships/hyperlink"/><Relationship Id="rId18" Target="https://hcnytq72r1ge.feishu.cn/minutes/obcnctpbe794c1rh449hf5bi?t=886000" TargetMode="External" Type="http://schemas.openxmlformats.org/officeDocument/2006/relationships/hyperlink"/><Relationship Id="rId19" Target="https://hcnytq72r1ge.feishu.cn/minutes/obcnctpbe794c1rh449hf5bi?from=ai_minutes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docx/IFbPdS0QqoXPmLxEC96cE0Q9n0f" TargetMode="External" Type="http://schemas.openxmlformats.org/officeDocument/2006/relationships/hyperlink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tpbe794c1rh449hf5bi?t=9000" TargetMode="External" Type="http://schemas.openxmlformats.org/officeDocument/2006/relationships/hyperlink"/><Relationship Id="rId9" Target="https://hcnytq72r1ge.feishu.cn/minutes/obcnctpbe794c1rh449hf5bi?t=10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2026-01-18T16:31:23Z</dcterms:created>
  <dc:creator>Apache POI</dc:creator>
</cp:coreProperties>
</file>