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智能纪要：35-数学、物理学习方法 2026年1月18日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会议主题：35-数学、物理学习方法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上传时间：1月18号（周日） 19:00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6482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本次会议说话人1围绕物理和数学的学习方法展开讲解，阐述了两科区别、各学习阶段要点以及搭建知识框架的方法等内容，为学习者提供系统的学习指导。内容如下：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数学和物理的学科区别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719"/>
        <w:gridCol w:w="3560"/>
      </w:tblGrid>
      <w:tr>
        <w:tc>
          <w:tcPr>
            <w:tcW w:w="471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学科本质差异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数学本质：说话人1认为数学主要针对概念和知识点的运用，考察逻辑推理能力，解题关键在于解题步骤的分析、总结和梳理，公式极其重要。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物理本质：物理研究世界的规律，核心是观察、猜想、实验、验证，基础是对物理概念本质规律的理解，公式只是描述数量关系，实验和原理才是核心。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学习方法区别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数学学习方法：数学核心是拆解答题思路和分析题目与知识点之间的关系，学习时要将概念搭建成知识框架，研究例题中已知条件、求解目标与知识点的匹配关系。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物理学习方法：物理重心放在公式的推导，要了解公式的来源，理解每个公式背后的实验原理和现象，通过实验去推导公式，搞懂实验步骤、现象和原理。</w:t>
            </w:r>
          </w:p>
        </w:tc>
        <w:tc>
          <w:tcPr>
            <w:tcW w:w="3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105025" cy="180975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025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数学与物理学科差异对比</w:t>
              <w:br/>
            </w:r>
          </w:p>
        </w:tc>
      </w:tr>
    </w:tbl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数学和物理的学习阶段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计算基本功阶段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练习内容：说话人1指出先进行 754 式练习（7 分钟 5 - 4 位数乘法）训练流程和计算能力，再进行分数计算训练，最后做方程式代数的运算训练。</w:t>
      </w:r>
    </w:p>
    <w:p>
      <w:pPr>
        <w:numPr>
          <w:numId w:val="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练习原则：前期以准确为主，后期追求准确和速度兼得，因为计算核心是准确，出错会导致思路卡壳。若诊断出计算有问题，会根据情况分配练习内容，从初阶到高阶提升计算能力。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基础知识阶段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基础知识内容：包括概念、公式和例题（物理中例题可分为实验）。</w:t>
      </w:r>
    </w:p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学习侧重点</w:t>
      </w:r>
    </w:p>
    <w:p>
      <w:pPr>
        <w:numPr>
          <w:numId w:val="15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数学侧重点：数学研究概念和例题，要将概念搭建成知识框架，因为概念抽象，涉及前置知识，掌握框架后才能理解新知识点。然后研究例题中已知条件、求解目标与知识点的匹配关系，积累答题模型。</w:t>
      </w:r>
    </w:p>
    <w:p>
      <w:pPr>
        <w:numPr>
          <w:numId w:val="16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物理侧重点：物理研究公式的推导和现象的规律，要理解每个概念背后的逻辑，了解公式和实验的来源、实验流程，搞懂实验步骤、现象和原理，搭建知识框架，搞懂知识点之间的联系。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基础差的学习方法：基础差（初中不及格，高中数学 60 或物理 40 以下）要回归课本，数学穿透书本概念，主攻例题和知识点运用，用提取方式搭建框架，搞懂课后习题；物理穿透概念，通过实验推导公式，了解公式来源和实验原理，搭建框架后刷题。</w:t>
      </w:r>
    </w:p>
    <w:p>
      <w:pPr>
        <w:numPr>
          <w:numId w:val="1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知识框架搭建方法</w:t>
      </w:r>
    </w:p>
    <w:p>
      <w:pPr>
        <w:numPr>
          <w:numId w:val="19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初阶方法：用课本目录小标题搭建基本框架，再填充相应内容。</w:t>
      </w:r>
    </w:p>
    <w:p>
      <w:pPr>
        <w:numPr>
          <w:numId w:val="20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高阶方法：数学通过数形结合区分知识点，联系前置知识点搭建框架；物理围绕力、质量、运动和加速度，拆分知识点，融合链接前置知识点搭建框架。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专项训练阶段</w:t>
      </w:r>
    </w:p>
    <w:p>
      <w:pPr>
        <w:numPr>
          <w:numId w:val="2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适用人群：初中数学 100 - 120、物理 60 - 80，高中数学 80 - 100、物理 40 - 60 分的学生。</w:t>
      </w:r>
    </w:p>
    <w:p>
      <w:pPr>
        <w:numPr>
          <w:numId w:val="2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正确刷题方法</w:t>
      </w:r>
    </w:p>
    <w:p>
      <w:pPr>
        <w:numPr>
          <w:numId w:val="24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明确刷题本质：刷题是为了积累做题思路和解题模型，最终要进行思路、结论和解题模型的总结。</w:t>
      </w:r>
    </w:p>
    <w:p>
      <w:pPr>
        <w:numPr>
          <w:numId w:val="25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题目穿透：要清晰理解题目每个步骤的逻辑，达到熟练程度，即感觉题目很简单。从不会到模糊、清晰再到熟练是学习过程，很多孩子卡在模糊阶段，可每天保持一道题从难到简单的练习，一个月会有效果。</w:t>
      </w:r>
    </w:p>
    <w:p>
      <w:pPr>
        <w:numPr>
          <w:numId w:val="26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具体步骤：对于无思路的题目先看答案了解正确思路，再自己重做，找到卡点和差距，将大问题拆解成小知识点，多次重做对比，缩小与正确答案的距离，积累解题思路，此方法在文科中也适用。</w:t>
      </w:r>
    </w:p>
    <w:p>
      <w:pPr>
        <w:numPr>
          <w:numId w:val="2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刷正确的题方法</w:t>
      </w:r>
    </w:p>
    <w:p>
      <w:pPr>
        <w:numPr>
          <w:numId w:val="28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选题原则：找答案看得懂的题目，避免做答案看不懂的题。总结经常卡壳的模块，刷定点模块的同类题，聚焦同类题可更快找到规律，方便归纳总结。</w:t>
      </w:r>
    </w:p>
    <w:p>
      <w:pPr>
        <w:numPr>
          <w:numId w:val="29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借助教辅：可以借助以模型为导向的教辅刷模型题，刷完要总结模型，看到已知条件或求解目标能锁定解题方法。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套卷练习阶段</w:t>
      </w:r>
    </w:p>
    <w:p>
      <w:pPr>
        <w:numPr>
          <w:numId w:val="3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适用分数：初中数学 120 以上、物理 80 以上，高中数学至少 100 分以上、物理至少 60 分以上，高中建议数学 120 以上、物理 80 分以上再刷套卷，100 分以上可主攻中等级以上难题。</w:t>
      </w:r>
    </w:p>
    <w:p>
      <w:pPr>
        <w:numPr>
          <w:numId w:val="3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套卷练习目的：训练考试能力，把控考试节奏，把会做的题全部做对，提高分数。</w:t>
      </w:r>
    </w:p>
    <w:p>
      <w:pPr>
        <w:numPr>
          <w:numId w:val="3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套卷选择与练习方法：选择往年高考真题，每张试卷找 1 - 2 道经典综合题，完成归纳总结做题思路和解题模型，进行模块化思路训练，核心是对题目足够熟练，大量重复错题，达到熟练后大脑会自动完成归纳。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学习方法总结</w:t>
      </w:r>
      <w:r>
        <w:rPr>
          <w:rFonts w:eastAsia="等线" w:ascii="Arial" w:cs="Arial" w:hAnsi="Arial"/>
          <w:sz w:val="22"/>
        </w:rPr>
        <w:t>：数学和物理学习核心是穿透提取、审题、做题和错题分析。基础差把重心放在提取穿透基础，中等以上先提取，再大量做题总结模型。学习本质是知识点和解题的熟练，关键是大量重复，遵循 “1 大于 10” 原则，若有不理解可找教练沟通。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00:06</w:t>
        </w:r>
      </w:hyperlink>
      <w:r>
        <w:rPr>
          <w:rFonts w:eastAsia="等线" w:ascii="Arial" w:cs="Arial" w:hAnsi="Arial"/>
          <w:b w:val="true"/>
          <w:sz w:val="22"/>
        </w:rPr>
        <w:t xml:space="preserve">  物理和数学学习方法及学科特点差异分析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讲解物理和数学的学习方法及区别。数学主要针对概念和知识点运用，考察逻辑推理能力，核心是拆解答题思路；物理研究世界规律，核心是实验，基础是对物理概念本质规律的理解。数学公式极其重要，物理公式只是辅助，物理学习要了解公式来源及背后的实验原理和现象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02:37</w:t>
        </w:r>
      </w:hyperlink>
      <w:r>
        <w:rPr>
          <w:rFonts w:eastAsia="等线" w:ascii="Arial" w:cs="Arial" w:hAnsi="Arial"/>
          <w:b w:val="true"/>
          <w:sz w:val="22"/>
        </w:rPr>
        <w:t xml:space="preserve">  数学物理学习四阶段及计算基本功训练法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指出数学和物理学习有四个阶段，即计算基本功、课本基础知识点、专项练习熟练度和套卷练习。着重讲解了基本功部分，先进行754（7分钟5 - 4位数乘法）练习提升流程与计算能力，再开展分数、方程式代数运算训练，前期重准确，后期兼顾速度。会根据诊断情况分配练习，基本功到位做题思路才不卡壳，才有考高分机会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04:38</w:t>
        </w:r>
      </w:hyperlink>
      <w:r>
        <w:rPr>
          <w:rFonts w:eastAsia="等线" w:ascii="Arial" w:cs="Arial" w:hAnsi="Arial"/>
          <w:b w:val="true"/>
          <w:sz w:val="22"/>
        </w:rPr>
        <w:t xml:space="preserve">  数学物理基础学习方法及框架搭建策略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围绕数学和物理基础知识学习展开。指出数学重概念框架搭建与例题研究，物理重概念逻辑、公式实验来源。基础差需回归课本，穿透概念、搭建框架、搞定基础题、总结模型。搭建框架有初阶提取法，高阶可从数形结合、力质量运动加速度等角度链接前置知识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16:23</w:t>
        </w:r>
      </w:hyperlink>
      <w:r>
        <w:rPr>
          <w:rFonts w:eastAsia="等线" w:ascii="Arial" w:cs="Arial" w:hAnsi="Arial"/>
          <w:b w:val="true"/>
          <w:sz w:val="22"/>
        </w:rPr>
        <w:t xml:space="preserve">  中等阶段学生正确刷题与刷正确题的方法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中等阶段学生学习展开，先明确中等阶段学生的成绩范围，指出该阶段核心是正确刷题和刷正确的题。正确刷题要明确本质是积累思路和模型，通过看答案、重做找卡点等步骤练到熟练；刷正确的题要选答案看得懂的，聚焦同类题，以模型题为导向，刷完总结模型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25:02</w:t>
        </w:r>
      </w:hyperlink>
      <w:r>
        <w:rPr>
          <w:rFonts w:eastAsia="等线" w:ascii="Arial" w:cs="Arial" w:hAnsi="Arial"/>
          <w:b w:val="true"/>
          <w:sz w:val="22"/>
        </w:rPr>
        <w:t xml:space="preserve">  数学和物理学习：专项后套卷及重复练习提分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数学和物理的学习方法。完成专项训练后，满足一定分数条件可做套卷综合练习，建议选高考真题。套卷练习核心是把控考试节奏、找出经典综合题，完成模块化思路训练。要大量重复错题达到熟练，才能做好归纳总结。学习本质是重复，掌握“1大于10”原则，有疑问可找教练沟通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关键决策</w:t>
      </w:r>
      <w:r>
        <w:rPr>
          <w:rFonts w:eastAsia="等线" w:ascii="Arial" w:cs="Arial" w:hAnsi="Arial"/>
          <w:sz w:val="22"/>
        </w:rPr>
        <w:t>：明确数学和物理的学习方法，根据基础情况分阶段进行学习。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：如何有效学习数学和物理两门学科，提高学习成绩。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讨论方案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说话人1提出学习分为四个阶段：计算基本功、课本基础知识、专项练习、套卷练习。</w:t>
      </w:r>
    </w:p>
    <w:p>
      <w:pPr>
        <w:numPr>
          <w:numId w:val="3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针对基础差的学生（初中数学不及格、物理40分以下，高中数学60分以下、物理40分以下），建议回归课本，穿透概念、搭建知识框架、主攻基础题。</w:t>
      </w:r>
    </w:p>
    <w:p>
      <w:pPr>
        <w:numPr>
          <w:numId w:val="4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针对中等水平的学生（初中数学100 - 120分、物理60 - 80分，高中数学80 - 100分、物理40 - 60分），强调正确刷题（积累思路和模型）和刷正确的题（答案看得懂、聚焦同类题、总结模型），达到熟练后可进行套卷综合练习。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决策依据</w:t>
      </w:r>
      <w:r>
        <w:rPr>
          <w:rFonts w:eastAsia="等线" w:ascii="Arial" w:cs="Arial" w:hAnsi="Arial"/>
          <w:sz w:val="22"/>
        </w:rPr>
        <w:t>：根据不同学习阶段和基础水平，制定符合认知规律和学习特点的方法，以帮助学生逐步提高学习能力和成绩。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其他决策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若计算有问题，可通过754练习（7分钟5 - 4位数乘法）、分数计算训练、方程式代数运算训练提升，前期注重准确，后期兼顾速度。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搭建知识框架初阶用课本目录小标题提取，高阶数学通过数形结合，物理围绕力、质量、运动和加速度进行知识点融合与链接。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刷套卷建议在初中数学120分以上、物理80分以上，高中数学120分以上、物理80分以上进行，选择往年高考真题，找经典综合题进行模块化思路训练。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「刷题的本质是为了积累做题思路和解题模型，而不是为了完成老师的任务，也不是为了刷题而刷题。」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明确了刷题的核心目的，纠正了常见的刷题误区，为学生提供了正确的学习方向。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「所有的学习都是从不会到模糊，从模糊到清晰，再到熟练的过程，很多孩子卡在了模糊这个阶段，越过之后会有很大的提升。」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概括了学习的普遍规律，指出学生常见的学习瓶颈，鼓励学生突破自我，达到熟练的学习状态。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「学习的本质就是重复，10道题模模糊糊，不如把一道题练到熟练，掌握这个原则，数学和物理一定都能学得好。」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强调了重复练习和熟练掌握的重要性，给出了简单有效的学习原则，对学生学习数学和物理具有指导意义。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2">
        <w:r>
          <w:rPr>
            <w:rFonts w:eastAsia="等线" w:ascii="Arial" w:cs="Arial" w:hAnsi="Arial"/>
            <w:color w:val="3370ff"/>
            <w:sz w:val="22"/>
          </w:rPr>
          <w:t>35-数学、物理学习方法</w:t>
        </w:r>
      </w:hyperlink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35-数学、物理学习方法 2026年1月18日</w:t>
        </w:r>
      </w:hyperlink>
    </w:p>
    <w:sectPr>
      <w:footerReference w:type="default" r:id="rId3"/>
      <w:headerReference w:type="default" r:id="rId1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10031">
    <w:lvl>
      <w:numFmt w:val="bullet"/>
      <w:suff w:val="tab"/>
      <w:lvlText w:val="•"/>
      <w:rPr>
        <w:color w:val="3370ff"/>
      </w:rPr>
    </w:lvl>
  </w:abstractNum>
  <w:abstractNum w:abstractNumId="310032">
    <w:lvl>
      <w:numFmt w:val="bullet"/>
      <w:suff w:val="tab"/>
      <w:lvlText w:val="•"/>
      <w:rPr>
        <w:color w:val="3370ff"/>
      </w:rPr>
    </w:lvl>
  </w:abstractNum>
  <w:abstractNum w:abstractNumId="310033">
    <w:lvl>
      <w:numFmt w:val="bullet"/>
      <w:suff w:val="tab"/>
      <w:lvlText w:val="￮"/>
      <w:rPr>
        <w:color w:val="3370ff"/>
      </w:rPr>
    </w:lvl>
  </w:abstractNum>
  <w:abstractNum w:abstractNumId="310034">
    <w:lvl>
      <w:numFmt w:val="bullet"/>
      <w:suff w:val="tab"/>
      <w:lvlText w:val="￮"/>
      <w:rPr>
        <w:color w:val="3370ff"/>
      </w:rPr>
    </w:lvl>
  </w:abstractNum>
  <w:abstractNum w:abstractNumId="310035">
    <w:lvl>
      <w:numFmt w:val="bullet"/>
      <w:suff w:val="tab"/>
      <w:lvlText w:val="•"/>
      <w:rPr>
        <w:color w:val="3370ff"/>
      </w:rPr>
    </w:lvl>
  </w:abstractNum>
  <w:abstractNum w:abstractNumId="310036">
    <w:lvl>
      <w:numFmt w:val="bullet"/>
      <w:suff w:val="tab"/>
      <w:lvlText w:val="￮"/>
      <w:rPr>
        <w:color w:val="3370ff"/>
      </w:rPr>
    </w:lvl>
  </w:abstractNum>
  <w:abstractNum w:abstractNumId="310037">
    <w:lvl>
      <w:numFmt w:val="bullet"/>
      <w:suff w:val="tab"/>
      <w:lvlText w:val="￮"/>
      <w:rPr>
        <w:color w:val="3370ff"/>
      </w:rPr>
    </w:lvl>
  </w:abstractNum>
  <w:abstractNum w:abstractNumId="310038">
    <w:lvl>
      <w:numFmt w:val="bullet"/>
      <w:suff w:val="tab"/>
      <w:lvlText w:val="•"/>
      <w:rPr>
        <w:color w:val="3370ff"/>
      </w:rPr>
    </w:lvl>
  </w:abstractNum>
  <w:abstractNum w:abstractNumId="310039">
    <w:lvl>
      <w:numFmt w:val="bullet"/>
      <w:suff w:val="tab"/>
      <w:lvlText w:val="￮"/>
      <w:rPr>
        <w:color w:val="3370ff"/>
      </w:rPr>
    </w:lvl>
  </w:abstractNum>
  <w:abstractNum w:abstractNumId="310040">
    <w:lvl>
      <w:numFmt w:val="bullet"/>
      <w:suff w:val="tab"/>
      <w:lvlText w:val="▪"/>
      <w:rPr>
        <w:color w:val="3370ff"/>
        <w:sz w:val="11"/>
      </w:rPr>
    </w:lvl>
  </w:abstractNum>
  <w:abstractNum w:abstractNumId="310041">
    <w:lvl>
      <w:numFmt w:val="bullet"/>
      <w:suff w:val="tab"/>
      <w:lvlText w:val="▪"/>
      <w:rPr>
        <w:color w:val="3370ff"/>
        <w:sz w:val="11"/>
      </w:rPr>
    </w:lvl>
  </w:abstractNum>
  <w:abstractNum w:abstractNumId="310042">
    <w:lvl>
      <w:numFmt w:val="bullet"/>
      <w:suff w:val="tab"/>
      <w:lvlText w:val="￮"/>
      <w:rPr>
        <w:color w:val="3370ff"/>
      </w:rPr>
    </w:lvl>
  </w:abstractNum>
  <w:abstractNum w:abstractNumId="310043">
    <w:lvl>
      <w:numFmt w:val="bullet"/>
      <w:suff w:val="tab"/>
      <w:lvlText w:val="▪"/>
      <w:rPr>
        <w:color w:val="3370ff"/>
        <w:sz w:val="11"/>
      </w:rPr>
    </w:lvl>
  </w:abstractNum>
  <w:abstractNum w:abstractNumId="310044">
    <w:lvl>
      <w:numFmt w:val="bullet"/>
      <w:suff w:val="tab"/>
      <w:lvlText w:val="▪"/>
      <w:rPr>
        <w:color w:val="3370ff"/>
        <w:sz w:val="11"/>
      </w:rPr>
    </w:lvl>
  </w:abstractNum>
  <w:abstractNum w:abstractNumId="310045">
    <w:lvl>
      <w:numFmt w:val="bullet"/>
      <w:suff w:val="tab"/>
      <w:lvlText w:val="•"/>
      <w:rPr>
        <w:color w:val="3370ff"/>
      </w:rPr>
    </w:lvl>
  </w:abstractNum>
  <w:abstractNum w:abstractNumId="310046">
    <w:lvl>
      <w:numFmt w:val="bullet"/>
      <w:suff w:val="tab"/>
      <w:lvlText w:val="•"/>
      <w:rPr>
        <w:color w:val="3370ff"/>
      </w:rPr>
    </w:lvl>
  </w:abstractNum>
  <w:abstractNum w:abstractNumId="310047">
    <w:lvl>
      <w:numFmt w:val="bullet"/>
      <w:suff w:val="tab"/>
      <w:lvlText w:val="▪"/>
      <w:rPr>
        <w:color w:val="3370ff"/>
        <w:sz w:val="11"/>
      </w:rPr>
    </w:lvl>
  </w:abstractNum>
  <w:abstractNum w:abstractNumId="310048">
    <w:lvl>
      <w:numFmt w:val="bullet"/>
      <w:suff w:val="tab"/>
      <w:lvlText w:val="▪"/>
      <w:rPr>
        <w:color w:val="3370ff"/>
        <w:sz w:val="11"/>
      </w:rPr>
    </w:lvl>
  </w:abstractNum>
  <w:abstractNum w:abstractNumId="310049">
    <w:lvl>
      <w:numFmt w:val="bullet"/>
      <w:suff w:val="tab"/>
      <w:lvlText w:val="•"/>
      <w:rPr>
        <w:color w:val="3370ff"/>
      </w:rPr>
    </w:lvl>
  </w:abstractNum>
  <w:abstractNum w:abstractNumId="310050">
    <w:lvl>
      <w:numFmt w:val="bullet"/>
      <w:suff w:val="tab"/>
      <w:lvlText w:val="•"/>
      <w:rPr>
        <w:color w:val="3370ff"/>
      </w:rPr>
    </w:lvl>
  </w:abstractNum>
  <w:abstractNum w:abstractNumId="310051">
    <w:lvl>
      <w:numFmt w:val="bullet"/>
      <w:suff w:val="tab"/>
      <w:lvlText w:val="￮"/>
      <w:rPr>
        <w:color w:val="3370ff"/>
      </w:rPr>
    </w:lvl>
  </w:abstractNum>
  <w:abstractNum w:abstractNumId="310052">
    <w:lvl>
      <w:numFmt w:val="bullet"/>
      <w:suff w:val="tab"/>
      <w:lvlText w:val="▪"/>
      <w:rPr>
        <w:color w:val="3370ff"/>
        <w:sz w:val="11"/>
      </w:rPr>
    </w:lvl>
  </w:abstractNum>
  <w:abstractNum w:abstractNumId="310053">
    <w:lvl>
      <w:numFmt w:val="bullet"/>
      <w:suff w:val="tab"/>
      <w:lvlText w:val="▪"/>
      <w:rPr>
        <w:color w:val="3370ff"/>
        <w:sz w:val="11"/>
      </w:rPr>
    </w:lvl>
  </w:abstractNum>
  <w:abstractNum w:abstractNumId="310054">
    <w:lvl>
      <w:numFmt w:val="bullet"/>
      <w:suff w:val="tab"/>
      <w:lvlText w:val="•"/>
      <w:rPr>
        <w:color w:val="3370ff"/>
      </w:rPr>
    </w:lvl>
  </w:abstractNum>
  <w:abstractNum w:abstractNumId="310055">
    <w:lvl>
      <w:numFmt w:val="bullet"/>
      <w:suff w:val="tab"/>
      <w:lvlText w:val="•"/>
      <w:rPr>
        <w:color w:val="3370ff"/>
      </w:rPr>
    </w:lvl>
  </w:abstractNum>
  <w:abstractNum w:abstractNumId="310056">
    <w:lvl>
      <w:numFmt w:val="bullet"/>
      <w:suff w:val="tab"/>
      <w:lvlText w:val="•"/>
      <w:rPr>
        <w:color w:val="3370ff"/>
      </w:rPr>
    </w:lvl>
  </w:abstractNum>
  <w:abstractNum w:abstractNumId="310057">
    <w:lvl>
      <w:numFmt w:val="bullet"/>
      <w:suff w:val="tab"/>
      <w:lvlText w:val="▪"/>
      <w:rPr>
        <w:color w:val="3370ff"/>
        <w:sz w:val="11"/>
      </w:rPr>
    </w:lvl>
  </w:abstractNum>
  <w:abstractNum w:abstractNumId="310058">
    <w:lvl>
      <w:numFmt w:val="bullet"/>
      <w:suff w:val="tab"/>
      <w:lvlText w:val="•"/>
      <w:rPr>
        <w:color w:val="3370ff"/>
      </w:rPr>
    </w:lvl>
  </w:abstractNum>
  <w:abstractNum w:abstractNumId="310059">
    <w:lvl>
      <w:numFmt w:val="bullet"/>
      <w:suff w:val="tab"/>
      <w:lvlText w:val="•"/>
      <w:rPr>
        <w:color w:val="3370ff"/>
      </w:rPr>
    </w:lvl>
  </w:abstractNum>
  <w:abstractNum w:abstractNumId="310060">
    <w:lvl>
      <w:numFmt w:val="bullet"/>
      <w:suff w:val="tab"/>
      <w:lvlText w:val="￮"/>
      <w:rPr>
        <w:color w:val="3370ff"/>
      </w:rPr>
    </w:lvl>
  </w:abstractNum>
  <w:abstractNum w:abstractNumId="310061">
    <w:lvl>
      <w:numFmt w:val="bullet"/>
      <w:suff w:val="tab"/>
      <w:lvlText w:val="▪"/>
      <w:rPr>
        <w:color w:val="3370ff"/>
        <w:sz w:val="11"/>
      </w:rPr>
    </w:lvl>
  </w:abstractNum>
  <w:abstractNum w:abstractNumId="310062">
    <w:lvl>
      <w:numFmt w:val="bullet"/>
      <w:suff w:val="tab"/>
      <w:lvlText w:val="▪"/>
      <w:rPr>
        <w:color w:val="3370ff"/>
        <w:sz w:val="11"/>
      </w:rPr>
    </w:lvl>
  </w:abstractNum>
  <w:abstractNum w:abstractNumId="310063">
    <w:lvl>
      <w:numFmt w:val="bullet"/>
      <w:suff w:val="tab"/>
      <w:lvlText w:val="▪"/>
      <w:rPr>
        <w:color w:val="3370ff"/>
        <w:sz w:val="11"/>
      </w:rPr>
    </w:lvl>
  </w:abstractNum>
  <w:abstractNum w:abstractNumId="310064">
    <w:lvl>
      <w:numFmt w:val="bullet"/>
      <w:suff w:val="tab"/>
      <w:lvlText w:val="•"/>
      <w:rPr>
        <w:color w:val="3370ff"/>
      </w:rPr>
    </w:lvl>
  </w:abstractNum>
  <w:abstractNum w:abstractNumId="310065">
    <w:lvl>
      <w:numFmt w:val="bullet"/>
      <w:suff w:val="tab"/>
      <w:lvlText w:val="•"/>
      <w:rPr>
        <w:color w:val="3370ff"/>
      </w:rPr>
    </w:lvl>
  </w:abstractNum>
  <w:abstractNum w:abstractNumId="310066">
    <w:lvl>
      <w:numFmt w:val="bullet"/>
      <w:suff w:val="tab"/>
      <w:lvlText w:val="￮"/>
      <w:rPr>
        <w:color w:val="3370ff"/>
      </w:rPr>
    </w:lvl>
  </w:abstractNum>
  <w:abstractNum w:abstractNumId="310067">
    <w:lvl>
      <w:numFmt w:val="bullet"/>
      <w:suff w:val="tab"/>
      <w:lvlText w:val="￮"/>
      <w:rPr>
        <w:color w:val="3370ff"/>
      </w:rPr>
    </w:lvl>
  </w:abstractNum>
  <w:abstractNum w:abstractNumId="310068">
    <w:lvl>
      <w:numFmt w:val="bullet"/>
      <w:suff w:val="tab"/>
      <w:lvlText w:val="▪"/>
      <w:rPr>
        <w:color w:val="3370ff"/>
        <w:sz w:val="11"/>
      </w:rPr>
    </w:lvl>
  </w:abstractNum>
  <w:abstractNum w:abstractNumId="310069">
    <w:lvl>
      <w:numFmt w:val="bullet"/>
      <w:suff w:val="tab"/>
      <w:lvlText w:val="▪"/>
      <w:rPr>
        <w:color w:val="3370ff"/>
        <w:sz w:val="11"/>
      </w:rPr>
    </w:lvl>
  </w:abstractNum>
  <w:abstractNum w:abstractNumId="310070">
    <w:lvl>
      <w:numFmt w:val="bullet"/>
      <w:suff w:val="tab"/>
      <w:lvlText w:val="▪"/>
      <w:rPr>
        <w:color w:val="3370ff"/>
        <w:sz w:val="11"/>
      </w:rPr>
    </w:lvl>
  </w:abstractNum>
  <w:abstractNum w:abstractNumId="310071">
    <w:lvl>
      <w:numFmt w:val="bullet"/>
      <w:suff w:val="tab"/>
      <w:lvlText w:val="￮"/>
      <w:rPr>
        <w:color w:val="3370ff"/>
      </w:rPr>
    </w:lvl>
  </w:abstractNum>
  <w:abstractNum w:abstractNumId="310072">
    <w:lvl>
      <w:numFmt w:val="bullet"/>
      <w:suff w:val="tab"/>
      <w:lvlText w:val="•"/>
      <w:rPr>
        <w:color w:val="3370ff"/>
      </w:rPr>
    </w:lvl>
  </w:abstractNum>
  <w:abstractNum w:abstractNumId="310073">
    <w:lvl>
      <w:start w:val="1"/>
      <w:numFmt w:val="lowerLetter"/>
      <w:suff w:val="tab"/>
      <w:lvlText w:val="%1."/>
      <w:rPr>
        <w:color w:val="3370ff"/>
      </w:rPr>
    </w:lvl>
  </w:abstractNum>
  <w:abstractNum w:abstractNumId="310074">
    <w:lvl>
      <w:start w:val="2"/>
      <w:numFmt w:val="lowerLetter"/>
      <w:suff w:val="tab"/>
      <w:lvlText w:val="%1."/>
      <w:rPr>
        <w:color w:val="3370ff"/>
      </w:rPr>
    </w:lvl>
  </w:abstractNum>
  <w:abstractNum w:abstractNumId="310075">
    <w:lvl>
      <w:start w:val="3"/>
      <w:numFmt w:val="lowerLetter"/>
      <w:suff w:val="tab"/>
      <w:lvlText w:val="%1."/>
      <w:rPr>
        <w:color w:val="3370ff"/>
      </w:rPr>
    </w:lvl>
  </w:abstractNum>
  <w:abstractNum w:abstractNumId="310076">
    <w:lvl>
      <w:numFmt w:val="bullet"/>
      <w:suff w:val="tab"/>
      <w:lvlText w:val="•"/>
      <w:rPr>
        <w:color w:val="3370ff"/>
      </w:rPr>
    </w:lvl>
  </w:abstractNum>
  <w:abstractNum w:abstractNumId="310077">
    <w:lvl>
      <w:numFmt w:val="bullet"/>
      <w:suff w:val="tab"/>
      <w:lvlText w:val="•"/>
      <w:rPr>
        <w:color w:val="3370ff"/>
      </w:rPr>
    </w:lvl>
  </w:abstractNum>
  <w:abstractNum w:abstractNumId="310078">
    <w:lvl>
      <w:numFmt w:val="bullet"/>
      <w:suff w:val="tab"/>
      <w:lvlText w:val="￮"/>
      <w:rPr>
        <w:color w:val="3370ff"/>
      </w:rPr>
    </w:lvl>
  </w:abstractNum>
  <w:num w:numId="1">
    <w:abstractNumId w:val="310031"/>
  </w:num>
  <w:num w:numId="2">
    <w:abstractNumId w:val="310032"/>
  </w:num>
  <w:num w:numId="3">
    <w:abstractNumId w:val="310033"/>
  </w:num>
  <w:num w:numId="4">
    <w:abstractNumId w:val="310034"/>
  </w:num>
  <w:num w:numId="5">
    <w:abstractNumId w:val="310035"/>
  </w:num>
  <w:num w:numId="6">
    <w:abstractNumId w:val="310036"/>
  </w:num>
  <w:num w:numId="7">
    <w:abstractNumId w:val="310037"/>
  </w:num>
  <w:num w:numId="8">
    <w:abstractNumId w:val="310038"/>
  </w:num>
  <w:num w:numId="9">
    <w:abstractNumId w:val="310039"/>
  </w:num>
  <w:num w:numId="10">
    <w:abstractNumId w:val="310040"/>
  </w:num>
  <w:num w:numId="11">
    <w:abstractNumId w:val="310041"/>
  </w:num>
  <w:num w:numId="12">
    <w:abstractNumId w:val="310042"/>
  </w:num>
  <w:num w:numId="13">
    <w:abstractNumId w:val="310043"/>
  </w:num>
  <w:num w:numId="14">
    <w:abstractNumId w:val="310044"/>
  </w:num>
  <w:num w:numId="15">
    <w:abstractNumId w:val="310045"/>
  </w:num>
  <w:num w:numId="16">
    <w:abstractNumId w:val="310046"/>
  </w:num>
  <w:num w:numId="17">
    <w:abstractNumId w:val="310047"/>
  </w:num>
  <w:num w:numId="18">
    <w:abstractNumId w:val="310048"/>
  </w:num>
  <w:num w:numId="19">
    <w:abstractNumId w:val="310049"/>
  </w:num>
  <w:num w:numId="20">
    <w:abstractNumId w:val="310050"/>
  </w:num>
  <w:num w:numId="21">
    <w:abstractNumId w:val="310051"/>
  </w:num>
  <w:num w:numId="22">
    <w:abstractNumId w:val="310052"/>
  </w:num>
  <w:num w:numId="23">
    <w:abstractNumId w:val="310053"/>
  </w:num>
  <w:num w:numId="24">
    <w:abstractNumId w:val="310054"/>
  </w:num>
  <w:num w:numId="25">
    <w:abstractNumId w:val="310055"/>
  </w:num>
  <w:num w:numId="26">
    <w:abstractNumId w:val="310056"/>
  </w:num>
  <w:num w:numId="27">
    <w:abstractNumId w:val="310057"/>
  </w:num>
  <w:num w:numId="28">
    <w:abstractNumId w:val="310058"/>
  </w:num>
  <w:num w:numId="29">
    <w:abstractNumId w:val="310059"/>
  </w:num>
  <w:num w:numId="30">
    <w:abstractNumId w:val="310060"/>
  </w:num>
  <w:num w:numId="31">
    <w:abstractNumId w:val="310061"/>
  </w:num>
  <w:num w:numId="32">
    <w:abstractNumId w:val="310062"/>
  </w:num>
  <w:num w:numId="33">
    <w:abstractNumId w:val="310063"/>
  </w:num>
  <w:num w:numId="34">
    <w:abstractNumId w:val="310064"/>
  </w:num>
  <w:num w:numId="35">
    <w:abstractNumId w:val="310065"/>
  </w:num>
  <w:num w:numId="36">
    <w:abstractNumId w:val="310066"/>
  </w:num>
  <w:num w:numId="37">
    <w:abstractNumId w:val="310067"/>
  </w:num>
  <w:num w:numId="38">
    <w:abstractNumId w:val="310068"/>
  </w:num>
  <w:num w:numId="39">
    <w:abstractNumId w:val="310069"/>
  </w:num>
  <w:num w:numId="40">
    <w:abstractNumId w:val="310070"/>
  </w:num>
  <w:num w:numId="41">
    <w:abstractNumId w:val="310071"/>
  </w:num>
  <w:num w:numId="42">
    <w:abstractNumId w:val="310072"/>
  </w:num>
  <w:num w:numId="43">
    <w:abstractNumId w:val="310073"/>
  </w:num>
  <w:num w:numId="44">
    <w:abstractNumId w:val="310074"/>
  </w:num>
  <w:num w:numId="45">
    <w:abstractNumId w:val="310075"/>
  </w:num>
  <w:num w:numId="46">
    <w:abstractNumId w:val="310076"/>
  </w:num>
  <w:num w:numId="47">
    <w:abstractNumId w:val="310077"/>
  </w:num>
  <w:num w:numId="48">
    <w:abstractNumId w:val="31007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cu1j8d2316648vvchnea?t=983000" TargetMode="External" Type="http://schemas.openxmlformats.org/officeDocument/2006/relationships/hyperlink"/><Relationship Id="rId11" Target="https://hcnytq72r1ge.feishu.cn/minutes/obcncu1j8d2316648vvchnea?t=1502000" TargetMode="External" Type="http://schemas.openxmlformats.org/officeDocument/2006/relationships/hyperlink"/><Relationship Id="rId12" Target="https://hcnytq72r1ge.feishu.cn/minutes/obcncu1j8d2316648vvchnea?from=ai_minutes" TargetMode="External" Type="http://schemas.openxmlformats.org/officeDocument/2006/relationships/hyperlink"/><Relationship Id="rId13" Target="https://hcnytq72r1ge.feishu.cn/docx/GOoxds37xoUt4nx3z6WcmIMHnhg" TargetMode="External" Type="http://schemas.openxmlformats.org/officeDocument/2006/relationships/hyperlink"/><Relationship Id="rId14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https://hcnytq72r1ge.feishu.cn/minutes/obcncu1j8d2316648vvchnea?t=6000" TargetMode="External" Type="http://schemas.openxmlformats.org/officeDocument/2006/relationships/hyperlink"/><Relationship Id="rId8" Target="https://hcnytq72r1ge.feishu.cn/minutes/obcncu1j8d2316648vvchnea?t=157000" TargetMode="External" Type="http://schemas.openxmlformats.org/officeDocument/2006/relationships/hyperlink"/><Relationship Id="rId9" Target="https://hcnytq72r1ge.feishu.cn/minutes/obcncu1j8d2316648vvchnea?t=278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2026-01-18T16:43:28Z</dcterms:created>
  <dc:creator>Apache POI</dc:creator>
</cp:coreProperties>
</file>