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140A3" w14:textId="77777777" w:rsidR="00D86187" w:rsidRPr="00FA3091" w:rsidRDefault="00D86187" w:rsidP="00D86187">
      <w:pPr>
        <w:pStyle w:val="Heading3"/>
        <w:ind w:left="3600" w:right="-360" w:firstLine="720"/>
        <w:jc w:val="right"/>
        <w:rPr>
          <w:rFonts w:asciiTheme="minorHAnsi" w:hAnsiTheme="minorHAnsi"/>
          <w:color w:val="auto"/>
          <w:sz w:val="24"/>
          <w:szCs w:val="24"/>
        </w:rPr>
      </w:pPr>
    </w:p>
    <w:p w14:paraId="3E89772B" w14:textId="77777777" w:rsidR="00D86187" w:rsidRDefault="00D86187" w:rsidP="00D86187">
      <w:pPr>
        <w:rPr>
          <w:rFonts w:asciiTheme="minorHAnsi" w:hAnsiTheme="minorHAnsi"/>
        </w:rPr>
      </w:pPr>
    </w:p>
    <w:p w14:paraId="3AAD912D" w14:textId="77777777" w:rsidR="00D86187" w:rsidRDefault="00D86187" w:rsidP="00D86187">
      <w:pPr>
        <w:rPr>
          <w:rFonts w:asciiTheme="minorHAnsi" w:hAnsiTheme="minorHAnsi"/>
        </w:rPr>
      </w:pPr>
    </w:p>
    <w:p w14:paraId="2FA73C0C" w14:textId="77777777" w:rsidR="00D86187" w:rsidRDefault="00D86187" w:rsidP="00D86187">
      <w:pPr>
        <w:jc w:val="center"/>
        <w:rPr>
          <w:rFonts w:ascii="Arial" w:hAnsi="Arial" w:cs="Arial"/>
          <w:b/>
        </w:rPr>
      </w:pPr>
      <w:r>
        <w:rPr>
          <w:rFonts w:ascii="Arial" w:hAnsi="Arial" w:cs="Arial"/>
          <w:b/>
        </w:rPr>
        <w:t xml:space="preserve">Freedom to Operate: Styrene Maleic Acid </w:t>
      </w:r>
      <w:proofErr w:type="spellStart"/>
      <w:r>
        <w:rPr>
          <w:rFonts w:ascii="Arial" w:hAnsi="Arial" w:cs="Arial"/>
          <w:b/>
        </w:rPr>
        <w:t>LipoProtein</w:t>
      </w:r>
      <w:proofErr w:type="spellEnd"/>
      <w:r>
        <w:rPr>
          <w:rFonts w:ascii="Arial" w:hAnsi="Arial" w:cs="Arial"/>
          <w:b/>
        </w:rPr>
        <w:t xml:space="preserve"> (SMALP)</w:t>
      </w:r>
    </w:p>
    <w:p w14:paraId="3DB763E3" w14:textId="77777777" w:rsidR="00D86187" w:rsidRDefault="00D86187" w:rsidP="00D86187">
      <w:pPr>
        <w:jc w:val="both"/>
        <w:rPr>
          <w:rFonts w:ascii="Arial" w:hAnsi="Arial" w:cs="Arial"/>
          <w:b/>
        </w:rPr>
      </w:pPr>
    </w:p>
    <w:p w14:paraId="3F7FD8E7" w14:textId="77777777" w:rsidR="00D86187" w:rsidRDefault="00D86187" w:rsidP="00D86187">
      <w:pPr>
        <w:jc w:val="both"/>
        <w:rPr>
          <w:rFonts w:ascii="Arial" w:hAnsi="Arial" w:cs="Arial"/>
          <w:b/>
        </w:rPr>
      </w:pPr>
    </w:p>
    <w:p w14:paraId="26B0DCCD" w14:textId="77777777" w:rsidR="00D86187" w:rsidRPr="00396516" w:rsidRDefault="00D86187" w:rsidP="00D86187">
      <w:pPr>
        <w:pStyle w:val="ListParagraph"/>
        <w:numPr>
          <w:ilvl w:val="0"/>
          <w:numId w:val="2"/>
        </w:numPr>
        <w:ind w:hanging="720"/>
        <w:jc w:val="both"/>
        <w:rPr>
          <w:rFonts w:ascii="Arial" w:hAnsi="Arial" w:cs="Arial"/>
          <w:b/>
        </w:rPr>
      </w:pPr>
      <w:r w:rsidRPr="00396516">
        <w:rPr>
          <w:rFonts w:ascii="Arial" w:hAnsi="Arial" w:cs="Arial"/>
          <w:b/>
        </w:rPr>
        <w:t>Background to the SMALP Technology</w:t>
      </w:r>
    </w:p>
    <w:p w14:paraId="6A1377DE" w14:textId="77777777" w:rsidR="00D86187" w:rsidRDefault="00D86187" w:rsidP="00D86187">
      <w:pPr>
        <w:jc w:val="both"/>
        <w:rPr>
          <w:rFonts w:ascii="Arial" w:hAnsi="Arial" w:cs="Arial"/>
        </w:rPr>
      </w:pPr>
    </w:p>
    <w:p w14:paraId="07EA5FDC" w14:textId="77777777" w:rsidR="00D86187" w:rsidRPr="006E5351" w:rsidRDefault="00D86187" w:rsidP="00D86187">
      <w:pPr>
        <w:pStyle w:val="ListParagraph"/>
        <w:numPr>
          <w:ilvl w:val="0"/>
          <w:numId w:val="3"/>
        </w:numPr>
        <w:jc w:val="both"/>
        <w:rPr>
          <w:rFonts w:ascii="Arial" w:hAnsi="Arial" w:cs="Arial"/>
          <w:b/>
        </w:rPr>
      </w:pPr>
      <w:r w:rsidRPr="006E5351">
        <w:rPr>
          <w:rFonts w:ascii="Arial" w:hAnsi="Arial" w:cs="Arial"/>
          <w:b/>
        </w:rPr>
        <w:t>SMALP</w:t>
      </w:r>
    </w:p>
    <w:p w14:paraId="456C3717" w14:textId="77777777" w:rsidR="00D86187" w:rsidRDefault="00D86187" w:rsidP="00D86187">
      <w:pPr>
        <w:pStyle w:val="ListParagraph"/>
        <w:jc w:val="both"/>
        <w:rPr>
          <w:rFonts w:ascii="Arial" w:hAnsi="Arial" w:cs="Arial"/>
        </w:rPr>
      </w:pPr>
    </w:p>
    <w:p w14:paraId="638A41B9" w14:textId="77777777" w:rsidR="00D86187" w:rsidRPr="00396516" w:rsidRDefault="00D86187" w:rsidP="00D86187">
      <w:pPr>
        <w:pStyle w:val="ListParagraph"/>
        <w:jc w:val="both"/>
        <w:rPr>
          <w:rFonts w:ascii="Arial" w:hAnsi="Arial" w:cs="Arial"/>
        </w:rPr>
      </w:pPr>
      <w:r w:rsidRPr="00396516">
        <w:rPr>
          <w:rFonts w:ascii="Arial" w:hAnsi="Arial" w:cs="Arial"/>
        </w:rPr>
        <w:t xml:space="preserve">Despite the great progress recently made in resolving their structures, investigation of the structural biology of membrane proteins still presents major challenges.  The study of membrane proteins is often hampered by their tendency to misfold when extracted by detergent. A styrene-maleic acid co-polymer offers an interesting alternative to existing detergents, in that it is able to insert into biological membranes, form a </w:t>
      </w:r>
      <w:proofErr w:type="spellStart"/>
      <w:r w:rsidRPr="00396516">
        <w:rPr>
          <w:rFonts w:ascii="Arial" w:hAnsi="Arial" w:cs="Arial"/>
        </w:rPr>
        <w:t>nanodisc</w:t>
      </w:r>
      <w:proofErr w:type="spellEnd"/>
      <w:r w:rsidRPr="00396516">
        <w:rPr>
          <w:rFonts w:ascii="Arial" w:hAnsi="Arial" w:cs="Arial"/>
        </w:rPr>
        <w:t xml:space="preserve"> with the membrane contents in the centre of the disc and leave the membrane as a stable intact </w:t>
      </w:r>
      <w:proofErr w:type="spellStart"/>
      <w:r w:rsidRPr="00396516">
        <w:rPr>
          <w:rFonts w:ascii="Arial" w:hAnsi="Arial" w:cs="Arial"/>
        </w:rPr>
        <w:t>nanodisc</w:t>
      </w:r>
      <w:proofErr w:type="spellEnd"/>
      <w:r w:rsidRPr="00396516">
        <w:rPr>
          <w:rFonts w:ascii="Arial" w:hAnsi="Arial" w:cs="Arial"/>
        </w:rPr>
        <w:t xml:space="preserve">. The lipid bilayer and resident membrane proteins are held within this disc, as depicted in the figure below. Once in the </w:t>
      </w:r>
      <w:proofErr w:type="spellStart"/>
      <w:r w:rsidRPr="00396516">
        <w:rPr>
          <w:rFonts w:ascii="Arial" w:hAnsi="Arial" w:cs="Arial"/>
        </w:rPr>
        <w:t>nanodisc</w:t>
      </w:r>
      <w:proofErr w:type="spellEnd"/>
      <w:r w:rsidRPr="00396516">
        <w:rPr>
          <w:rFonts w:ascii="Arial" w:hAnsi="Arial" w:cs="Arial"/>
        </w:rPr>
        <w:t xml:space="preserve">, membrane proteins purified without exposure to further detergents, they show heightened thermal stability and retain full functional activity. This creates a number of commercial opportunities for life science companies. </w:t>
      </w:r>
    </w:p>
    <w:p w14:paraId="4A084447" w14:textId="77777777" w:rsidR="00D86187" w:rsidRPr="0056111D" w:rsidRDefault="00D86187" w:rsidP="00D86187">
      <w:pPr>
        <w:jc w:val="both"/>
        <w:rPr>
          <w:rFonts w:ascii="Arial" w:hAnsi="Arial" w:cs="Arial"/>
        </w:rPr>
      </w:pPr>
    </w:p>
    <w:p w14:paraId="3A302B1D" w14:textId="77777777" w:rsidR="00D86187" w:rsidRPr="0056111D" w:rsidRDefault="00D86187" w:rsidP="00D86187">
      <w:pPr>
        <w:jc w:val="center"/>
        <w:rPr>
          <w:rFonts w:ascii="Arial" w:hAnsi="Arial" w:cs="Arial"/>
        </w:rPr>
      </w:pPr>
      <w:r>
        <w:rPr>
          <w:noProof/>
          <w:lang w:eastAsia="en-GB"/>
        </w:rPr>
        <w:drawing>
          <wp:inline distT="0" distB="0" distL="0" distR="0" wp14:anchorId="40A34829" wp14:editId="531423A9">
            <wp:extent cx="2719346" cy="1489511"/>
            <wp:effectExtent l="0" t="0" r="5080" b="0"/>
            <wp:docPr id="1" name="Picture 1" descr="smalpdiagra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lpdiagram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6161" cy="1493244"/>
                    </a:xfrm>
                    <a:prstGeom prst="rect">
                      <a:avLst/>
                    </a:prstGeom>
                    <a:noFill/>
                    <a:ln>
                      <a:noFill/>
                    </a:ln>
                  </pic:spPr>
                </pic:pic>
              </a:graphicData>
            </a:graphic>
          </wp:inline>
        </w:drawing>
      </w:r>
    </w:p>
    <w:p w14:paraId="64F2D0C6" w14:textId="77777777" w:rsidR="00D86187" w:rsidRDefault="00D86187" w:rsidP="00D86187">
      <w:pPr>
        <w:jc w:val="both"/>
        <w:rPr>
          <w:rFonts w:ascii="Arial" w:hAnsi="Arial" w:cs="Arial"/>
          <w:b/>
        </w:rPr>
      </w:pPr>
    </w:p>
    <w:p w14:paraId="52402295" w14:textId="77777777" w:rsidR="00D86187" w:rsidRDefault="00D86187" w:rsidP="00D86187">
      <w:pPr>
        <w:jc w:val="both"/>
        <w:rPr>
          <w:rFonts w:ascii="Arial" w:hAnsi="Arial" w:cs="Arial"/>
          <w:b/>
        </w:rPr>
      </w:pPr>
    </w:p>
    <w:p w14:paraId="017B8221" w14:textId="77777777" w:rsidR="00D86187" w:rsidRDefault="00D86187" w:rsidP="00D86187">
      <w:pPr>
        <w:jc w:val="both"/>
        <w:rPr>
          <w:rFonts w:ascii="Arial" w:hAnsi="Arial" w:cs="Arial"/>
          <w:b/>
        </w:rPr>
      </w:pPr>
    </w:p>
    <w:p w14:paraId="7A3BD0DA" w14:textId="77777777" w:rsidR="00D86187" w:rsidRDefault="00D86187" w:rsidP="00D86187">
      <w:pPr>
        <w:jc w:val="both"/>
        <w:rPr>
          <w:rFonts w:ascii="Arial" w:hAnsi="Arial" w:cs="Arial"/>
          <w:b/>
        </w:rPr>
      </w:pPr>
    </w:p>
    <w:p w14:paraId="63C8231F" w14:textId="77777777" w:rsidR="00D86187" w:rsidRPr="006E5351" w:rsidRDefault="00D86187" w:rsidP="00D86187">
      <w:pPr>
        <w:pStyle w:val="ListParagraph"/>
        <w:numPr>
          <w:ilvl w:val="0"/>
          <w:numId w:val="3"/>
        </w:numPr>
        <w:jc w:val="both"/>
        <w:rPr>
          <w:rFonts w:ascii="Arial" w:hAnsi="Arial" w:cs="Arial"/>
          <w:b/>
        </w:rPr>
      </w:pPr>
      <w:r w:rsidRPr="006E5351">
        <w:rPr>
          <w:rFonts w:ascii="Arial" w:hAnsi="Arial" w:cs="Arial"/>
          <w:b/>
        </w:rPr>
        <w:t xml:space="preserve">Manufacture of Styrene Maleic Acid (SMA) </w:t>
      </w:r>
    </w:p>
    <w:p w14:paraId="0FF83F3F" w14:textId="77777777" w:rsidR="00D86187" w:rsidRDefault="00D86187" w:rsidP="00D86187">
      <w:pPr>
        <w:jc w:val="both"/>
        <w:rPr>
          <w:rFonts w:ascii="Arial" w:hAnsi="Arial" w:cs="Arial"/>
        </w:rPr>
      </w:pPr>
    </w:p>
    <w:p w14:paraId="419F0557" w14:textId="77777777" w:rsidR="00D86187" w:rsidRPr="00F27D29" w:rsidRDefault="00D86187" w:rsidP="00D86187">
      <w:pPr>
        <w:ind w:left="720"/>
        <w:jc w:val="both"/>
        <w:rPr>
          <w:rFonts w:ascii="Arial" w:eastAsiaTheme="minorHAnsi" w:hAnsi="Arial" w:cs="Arial"/>
          <w:sz w:val="22"/>
          <w:szCs w:val="22"/>
        </w:rPr>
      </w:pPr>
      <w:r w:rsidRPr="00F27D29">
        <w:rPr>
          <w:rFonts w:ascii="Arial" w:eastAsiaTheme="minorHAnsi" w:hAnsi="Arial" w:cs="Arial"/>
          <w:sz w:val="22"/>
          <w:szCs w:val="22"/>
        </w:rPr>
        <w:t xml:space="preserve">SMA copolymer is formed from polymerization of a mixture of styrene and maleic anhydride in various ratios (3:1 and 2:1 being the most common). The anhydride moieties can subsequently be </w:t>
      </w:r>
      <w:proofErr w:type="spellStart"/>
      <w:r w:rsidRPr="00F27D29">
        <w:rPr>
          <w:rFonts w:ascii="Arial" w:eastAsiaTheme="minorHAnsi" w:hAnsi="Arial" w:cs="Arial"/>
          <w:sz w:val="22"/>
          <w:szCs w:val="22"/>
        </w:rPr>
        <w:t>hydrolyzed</w:t>
      </w:r>
      <w:proofErr w:type="spellEnd"/>
      <w:r w:rsidRPr="00F27D29">
        <w:rPr>
          <w:rFonts w:ascii="Arial" w:eastAsiaTheme="minorHAnsi" w:hAnsi="Arial" w:cs="Arial"/>
          <w:sz w:val="22"/>
          <w:szCs w:val="22"/>
        </w:rPr>
        <w:t xml:space="preserve"> to maleic acid. The alternating hydrophobic residues (styrene) and hydrophilic (maleic acid) is thought to be determining for the SMA properties of membrane solubilisation. </w:t>
      </w:r>
    </w:p>
    <w:p w14:paraId="0C9CAFF4" w14:textId="77777777" w:rsidR="00D86187" w:rsidRPr="0056111D" w:rsidRDefault="00D86187" w:rsidP="00D86187">
      <w:pPr>
        <w:jc w:val="both"/>
        <w:rPr>
          <w:rFonts w:ascii="Arial" w:hAnsi="Arial" w:cs="Arial"/>
        </w:rPr>
      </w:pPr>
      <w:r>
        <w:rPr>
          <w:noProof/>
          <w:lang w:eastAsia="en-GB"/>
        </w:rPr>
        <w:drawing>
          <wp:inline distT="0" distB="0" distL="0" distR="0" wp14:anchorId="46A8F145" wp14:editId="5A3CCCF7">
            <wp:extent cx="5179162" cy="1266264"/>
            <wp:effectExtent l="0" t="0" r="2540" b="0"/>
            <wp:docPr id="3" name="Picture 3" descr="Reaction Over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ion Overie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82209" cy="1267009"/>
                    </a:xfrm>
                    <a:prstGeom prst="rect">
                      <a:avLst/>
                    </a:prstGeom>
                    <a:noFill/>
                    <a:ln>
                      <a:noFill/>
                    </a:ln>
                  </pic:spPr>
                </pic:pic>
              </a:graphicData>
            </a:graphic>
          </wp:inline>
        </w:drawing>
      </w:r>
    </w:p>
    <w:p w14:paraId="7216D2D8" w14:textId="77777777" w:rsidR="00D86187" w:rsidRDefault="00D86187" w:rsidP="00D86187">
      <w:pPr>
        <w:rPr>
          <w:rFonts w:ascii="Arial" w:hAnsi="Arial" w:cs="Arial"/>
          <w:b/>
        </w:rPr>
      </w:pPr>
    </w:p>
    <w:p w14:paraId="70A392F0" w14:textId="77777777" w:rsidR="00D86187" w:rsidRPr="006E5351" w:rsidRDefault="00D86187" w:rsidP="00D86187">
      <w:pPr>
        <w:pStyle w:val="ListParagraph"/>
        <w:numPr>
          <w:ilvl w:val="0"/>
          <w:numId w:val="3"/>
        </w:numPr>
        <w:rPr>
          <w:rFonts w:ascii="Arial" w:hAnsi="Arial" w:cs="Arial"/>
          <w:b/>
        </w:rPr>
      </w:pPr>
      <w:r w:rsidRPr="006E5351">
        <w:rPr>
          <w:rFonts w:ascii="Arial" w:hAnsi="Arial" w:cs="Arial"/>
          <w:b/>
        </w:rPr>
        <w:t>SMA lipid particles (SMALPs)</w:t>
      </w:r>
    </w:p>
    <w:p w14:paraId="4E4905BC" w14:textId="77777777" w:rsidR="00D86187" w:rsidRDefault="00D86187" w:rsidP="00D86187">
      <w:pPr>
        <w:jc w:val="both"/>
        <w:rPr>
          <w:rFonts w:ascii="Arial" w:hAnsi="Arial" w:cs="Arial"/>
        </w:rPr>
      </w:pPr>
    </w:p>
    <w:p w14:paraId="626DE392" w14:textId="77777777" w:rsidR="00D86187" w:rsidRDefault="00D86187" w:rsidP="00D86187">
      <w:pPr>
        <w:ind w:left="720"/>
        <w:jc w:val="both"/>
        <w:rPr>
          <w:rFonts w:ascii="Arial" w:hAnsi="Arial" w:cs="Arial"/>
          <w:sz w:val="22"/>
          <w:szCs w:val="22"/>
        </w:rPr>
      </w:pPr>
      <w:r w:rsidRPr="006E5351">
        <w:rPr>
          <w:rFonts w:ascii="Arial" w:hAnsi="Arial" w:cs="Arial"/>
          <w:sz w:val="22"/>
          <w:szCs w:val="22"/>
        </w:rPr>
        <w:t xml:space="preserve">Originally being patented as </w:t>
      </w:r>
      <w:proofErr w:type="spellStart"/>
      <w:r w:rsidRPr="006E5351">
        <w:rPr>
          <w:rFonts w:ascii="Arial" w:hAnsi="Arial" w:cs="Arial"/>
          <w:sz w:val="22"/>
          <w:szCs w:val="22"/>
        </w:rPr>
        <w:t>Lipodisq</w:t>
      </w:r>
      <w:proofErr w:type="spellEnd"/>
      <w:r w:rsidRPr="006E5351">
        <w:rPr>
          <w:rFonts w:ascii="Arial" w:hAnsi="Arial" w:cs="Arial"/>
          <w:sz w:val="22"/>
          <w:szCs w:val="22"/>
        </w:rPr>
        <w:t>, (</w:t>
      </w:r>
      <w:r w:rsidR="005833B9">
        <w:rPr>
          <w:rFonts w:ascii="Arial" w:hAnsi="Arial" w:cs="Arial"/>
          <w:sz w:val="22"/>
          <w:szCs w:val="22"/>
        </w:rPr>
        <w:t xml:space="preserve">patent 11 below: principally </w:t>
      </w:r>
      <w:r w:rsidRPr="006E5351">
        <w:rPr>
          <w:rFonts w:ascii="Arial" w:hAnsi="Arial" w:cs="Arial"/>
          <w:sz w:val="22"/>
          <w:szCs w:val="22"/>
        </w:rPr>
        <w:t xml:space="preserve">a drug delivery tool for hydrophobic pharmaceuticals), SMALPs </w:t>
      </w:r>
      <w:r w:rsidR="005833B9">
        <w:rPr>
          <w:rFonts w:ascii="Arial" w:hAnsi="Arial" w:cs="Arial"/>
          <w:sz w:val="22"/>
          <w:szCs w:val="22"/>
        </w:rPr>
        <w:t>can be used to purify</w:t>
      </w:r>
      <w:r w:rsidRPr="006E5351">
        <w:rPr>
          <w:rFonts w:ascii="Arial" w:hAnsi="Arial" w:cs="Arial"/>
          <w:sz w:val="22"/>
          <w:szCs w:val="22"/>
        </w:rPr>
        <w:t xml:space="preserve"> membrane proteins </w:t>
      </w:r>
      <w:r w:rsidR="005833B9">
        <w:rPr>
          <w:rFonts w:ascii="Arial" w:hAnsi="Arial" w:cs="Arial"/>
          <w:sz w:val="22"/>
          <w:szCs w:val="22"/>
        </w:rPr>
        <w:t>(</w:t>
      </w:r>
      <w:r w:rsidRPr="006E5351">
        <w:rPr>
          <w:rFonts w:ascii="Arial" w:hAnsi="Arial" w:cs="Arial"/>
          <w:sz w:val="22"/>
          <w:szCs w:val="22"/>
        </w:rPr>
        <w:t>Knowles and co-workers</w:t>
      </w:r>
      <w:r w:rsidR="005833B9">
        <w:rPr>
          <w:rFonts w:ascii="Arial" w:hAnsi="Arial" w:cs="Arial"/>
          <w:sz w:val="22"/>
          <w:szCs w:val="22"/>
        </w:rPr>
        <w:t>:</w:t>
      </w:r>
      <w:r w:rsidRPr="006E5351">
        <w:rPr>
          <w:rFonts w:ascii="Arial" w:hAnsi="Arial" w:cs="Arial"/>
          <w:sz w:val="22"/>
          <w:szCs w:val="22"/>
        </w:rPr>
        <w:t xml:space="preserve"> </w:t>
      </w:r>
      <w:r>
        <w:rPr>
          <w:rFonts w:ascii="Arial" w:hAnsi="Arial" w:cs="Arial"/>
          <w:sz w:val="22"/>
          <w:szCs w:val="22"/>
        </w:rPr>
        <w:t>ref 2)</w:t>
      </w:r>
      <w:r w:rsidRPr="006E5351">
        <w:rPr>
          <w:rFonts w:ascii="Arial" w:hAnsi="Arial" w:cs="Arial"/>
          <w:sz w:val="22"/>
          <w:szCs w:val="22"/>
        </w:rPr>
        <w:t xml:space="preserve">. </w:t>
      </w:r>
      <w:r w:rsidR="005833B9">
        <w:rPr>
          <w:rFonts w:ascii="Arial" w:hAnsi="Arial" w:cs="Arial"/>
          <w:sz w:val="22"/>
          <w:szCs w:val="22"/>
        </w:rPr>
        <w:t>Since that time, a</w:t>
      </w:r>
      <w:r>
        <w:rPr>
          <w:rFonts w:ascii="Arial" w:hAnsi="Arial" w:cs="Arial"/>
          <w:sz w:val="22"/>
          <w:szCs w:val="22"/>
        </w:rPr>
        <w:t xml:space="preserve"> variety of proteins have been purified successfully using the SMALP approach with the following results:</w:t>
      </w:r>
    </w:p>
    <w:p w14:paraId="2CC055EC" w14:textId="77777777" w:rsidR="00D86187" w:rsidRDefault="00D86187" w:rsidP="00D86187">
      <w:pPr>
        <w:ind w:left="720"/>
        <w:jc w:val="both"/>
        <w:rPr>
          <w:rFonts w:ascii="Arial" w:hAnsi="Arial" w:cs="Arial"/>
          <w:sz w:val="22"/>
          <w:szCs w:val="22"/>
        </w:rPr>
      </w:pPr>
    </w:p>
    <w:p w14:paraId="69ACF834" w14:textId="77777777" w:rsidR="00D86187" w:rsidRPr="005833B9" w:rsidRDefault="00D86187" w:rsidP="005833B9">
      <w:pPr>
        <w:pStyle w:val="ListParagraph"/>
        <w:numPr>
          <w:ilvl w:val="1"/>
          <w:numId w:val="7"/>
        </w:numPr>
        <w:jc w:val="both"/>
        <w:rPr>
          <w:rFonts w:ascii="Arial" w:hAnsi="Arial" w:cs="Arial"/>
        </w:rPr>
      </w:pPr>
      <w:r w:rsidRPr="005833B9">
        <w:rPr>
          <w:rFonts w:ascii="Arial" w:hAnsi="Arial" w:cs="Arial"/>
        </w:rPr>
        <w:t xml:space="preserve">Membrane proteins of 1-36 transmembrane domains spontaneously incorporate in SMALP </w:t>
      </w:r>
      <w:proofErr w:type="spellStart"/>
      <w:r w:rsidRPr="005833B9">
        <w:rPr>
          <w:rFonts w:ascii="Arial" w:hAnsi="Arial" w:cs="Arial"/>
        </w:rPr>
        <w:t>nanodiscs</w:t>
      </w:r>
      <w:proofErr w:type="spellEnd"/>
      <w:r w:rsidRPr="005833B9">
        <w:rPr>
          <w:rFonts w:ascii="Arial" w:hAnsi="Arial" w:cs="Arial"/>
        </w:rPr>
        <w:t xml:space="preserve"> of 9-12nm diameter (refs 1, 3-5);</w:t>
      </w:r>
    </w:p>
    <w:p w14:paraId="2BBAC8F2" w14:textId="77777777" w:rsidR="00D86187" w:rsidRDefault="00D86187" w:rsidP="00D86187">
      <w:pPr>
        <w:ind w:left="720"/>
        <w:jc w:val="both"/>
        <w:rPr>
          <w:rFonts w:ascii="Arial" w:hAnsi="Arial" w:cs="Arial"/>
          <w:sz w:val="22"/>
          <w:szCs w:val="22"/>
        </w:rPr>
      </w:pPr>
    </w:p>
    <w:p w14:paraId="37BBAE87" w14:textId="77777777" w:rsidR="00D86187" w:rsidRPr="005833B9" w:rsidRDefault="00D86187" w:rsidP="005833B9">
      <w:pPr>
        <w:pStyle w:val="ListParagraph"/>
        <w:numPr>
          <w:ilvl w:val="1"/>
          <w:numId w:val="7"/>
        </w:numPr>
        <w:jc w:val="both"/>
        <w:rPr>
          <w:rFonts w:ascii="Arial" w:hAnsi="Arial" w:cs="Arial"/>
        </w:rPr>
      </w:pPr>
      <w:r w:rsidRPr="005833B9">
        <w:rPr>
          <w:rFonts w:ascii="Arial" w:hAnsi="Arial" w:cs="Arial"/>
        </w:rPr>
        <w:t xml:space="preserve">The proteins in SMALP </w:t>
      </w:r>
      <w:proofErr w:type="spellStart"/>
      <w:r w:rsidRPr="005833B9">
        <w:rPr>
          <w:rFonts w:ascii="Arial" w:hAnsi="Arial" w:cs="Arial"/>
        </w:rPr>
        <w:t>nanodiscs</w:t>
      </w:r>
      <w:proofErr w:type="spellEnd"/>
      <w:r w:rsidRPr="005833B9">
        <w:rPr>
          <w:rFonts w:ascii="Arial" w:hAnsi="Arial" w:cs="Arial"/>
        </w:rPr>
        <w:t xml:space="preserve"> can be purified by conventional methods (affinity, ion exchange, size exclusion chromatography) without removing </w:t>
      </w:r>
      <w:r w:rsidR="005833B9">
        <w:rPr>
          <w:rFonts w:ascii="Arial" w:hAnsi="Arial" w:cs="Arial"/>
        </w:rPr>
        <w:t xml:space="preserve">them </w:t>
      </w:r>
      <w:r w:rsidRPr="005833B9">
        <w:rPr>
          <w:rFonts w:ascii="Arial" w:hAnsi="Arial" w:cs="Arial"/>
        </w:rPr>
        <w:t xml:space="preserve">from the </w:t>
      </w:r>
      <w:proofErr w:type="spellStart"/>
      <w:r w:rsidRPr="005833B9">
        <w:rPr>
          <w:rFonts w:ascii="Arial" w:hAnsi="Arial" w:cs="Arial"/>
        </w:rPr>
        <w:t>nanodisc</w:t>
      </w:r>
      <w:proofErr w:type="spellEnd"/>
      <w:r w:rsidRPr="005833B9">
        <w:rPr>
          <w:rFonts w:ascii="Arial" w:hAnsi="Arial" w:cs="Arial"/>
        </w:rPr>
        <w:t>;</w:t>
      </w:r>
    </w:p>
    <w:p w14:paraId="362336E1" w14:textId="77777777" w:rsidR="00D86187" w:rsidRPr="006E5351" w:rsidRDefault="00D86187" w:rsidP="00D86187">
      <w:pPr>
        <w:jc w:val="both"/>
        <w:rPr>
          <w:rFonts w:ascii="Arial" w:hAnsi="Arial" w:cs="Arial"/>
          <w:sz w:val="22"/>
          <w:szCs w:val="22"/>
        </w:rPr>
      </w:pPr>
    </w:p>
    <w:p w14:paraId="7FFD144D" w14:textId="77777777" w:rsidR="00D86187" w:rsidRPr="005833B9" w:rsidRDefault="00D86187" w:rsidP="005833B9">
      <w:pPr>
        <w:pStyle w:val="ListParagraph"/>
        <w:numPr>
          <w:ilvl w:val="1"/>
          <w:numId w:val="7"/>
        </w:numPr>
        <w:jc w:val="both"/>
        <w:rPr>
          <w:rFonts w:ascii="Arial" w:hAnsi="Arial" w:cs="Arial"/>
        </w:rPr>
      </w:pPr>
      <w:r w:rsidRPr="005833B9">
        <w:rPr>
          <w:rFonts w:ascii="Arial" w:hAnsi="Arial" w:cs="Arial"/>
        </w:rPr>
        <w:t xml:space="preserve">The proteins in SMALP </w:t>
      </w:r>
      <w:proofErr w:type="spellStart"/>
      <w:r w:rsidRPr="005833B9">
        <w:rPr>
          <w:rFonts w:ascii="Arial" w:hAnsi="Arial" w:cs="Arial"/>
        </w:rPr>
        <w:t>nanodiscs</w:t>
      </w:r>
      <w:proofErr w:type="spellEnd"/>
      <w:r w:rsidRPr="005833B9">
        <w:rPr>
          <w:rFonts w:ascii="Arial" w:hAnsi="Arial" w:cs="Arial"/>
        </w:rPr>
        <w:t xml:space="preserve"> are stable, display native structure and are fully active;</w:t>
      </w:r>
    </w:p>
    <w:p w14:paraId="2B00C184" w14:textId="77777777" w:rsidR="00D86187" w:rsidRDefault="00D86187" w:rsidP="00D86187">
      <w:pPr>
        <w:ind w:left="720"/>
        <w:jc w:val="both"/>
        <w:rPr>
          <w:rFonts w:ascii="Arial" w:hAnsi="Arial" w:cs="Arial"/>
          <w:sz w:val="22"/>
          <w:szCs w:val="22"/>
        </w:rPr>
      </w:pPr>
    </w:p>
    <w:p w14:paraId="570C9C06" w14:textId="77777777" w:rsidR="00D86187" w:rsidRPr="005833B9" w:rsidRDefault="00D86187" w:rsidP="005833B9">
      <w:pPr>
        <w:pStyle w:val="ListParagraph"/>
        <w:numPr>
          <w:ilvl w:val="1"/>
          <w:numId w:val="7"/>
        </w:numPr>
        <w:jc w:val="both"/>
        <w:rPr>
          <w:rFonts w:ascii="Arial" w:hAnsi="Arial" w:cs="Arial"/>
        </w:rPr>
      </w:pPr>
      <w:r w:rsidRPr="005833B9">
        <w:rPr>
          <w:rFonts w:ascii="Arial" w:hAnsi="Arial" w:cs="Arial"/>
        </w:rPr>
        <w:t xml:space="preserve">The incorporation of membrane proteins in SMALP </w:t>
      </w:r>
      <w:proofErr w:type="spellStart"/>
      <w:r w:rsidRPr="005833B9">
        <w:rPr>
          <w:rFonts w:ascii="Arial" w:hAnsi="Arial" w:cs="Arial"/>
        </w:rPr>
        <w:t>nanodiscs</w:t>
      </w:r>
      <w:proofErr w:type="spellEnd"/>
      <w:r w:rsidRPr="005833B9">
        <w:rPr>
          <w:rFonts w:ascii="Arial" w:hAnsi="Arial" w:cs="Arial"/>
        </w:rPr>
        <w:t xml:space="preserve"> offers an attractive platform to discover new drugs to individual membrane proteins.</w:t>
      </w:r>
    </w:p>
    <w:p w14:paraId="19CA7F6E" w14:textId="77777777" w:rsidR="00D86187" w:rsidRDefault="00D86187" w:rsidP="00D86187">
      <w:pPr>
        <w:ind w:left="720"/>
        <w:jc w:val="both"/>
        <w:rPr>
          <w:rFonts w:ascii="Arial" w:hAnsi="Arial" w:cs="Arial"/>
          <w:sz w:val="22"/>
          <w:szCs w:val="22"/>
        </w:rPr>
      </w:pPr>
    </w:p>
    <w:p w14:paraId="08874BFF" w14:textId="77777777" w:rsidR="00D86187" w:rsidRDefault="00D86187" w:rsidP="00D86187">
      <w:pPr>
        <w:ind w:left="720"/>
        <w:jc w:val="both"/>
        <w:rPr>
          <w:rFonts w:ascii="Arial" w:hAnsi="Arial" w:cs="Arial"/>
          <w:sz w:val="22"/>
          <w:szCs w:val="22"/>
        </w:rPr>
      </w:pPr>
    </w:p>
    <w:p w14:paraId="497B2F7B" w14:textId="77777777" w:rsidR="00D86187" w:rsidRDefault="00D86187" w:rsidP="00D86187">
      <w:pPr>
        <w:ind w:left="720"/>
        <w:jc w:val="both"/>
        <w:rPr>
          <w:rFonts w:ascii="Arial" w:hAnsi="Arial" w:cs="Arial"/>
          <w:sz w:val="22"/>
          <w:szCs w:val="22"/>
        </w:rPr>
      </w:pPr>
      <w:r>
        <w:rPr>
          <w:rFonts w:ascii="Arial" w:hAnsi="Arial" w:cs="Arial"/>
          <w:sz w:val="22"/>
          <w:szCs w:val="22"/>
        </w:rPr>
        <w:t>A number of research articles describing progress with SMALP to date are identified below, alon</w:t>
      </w:r>
      <w:r w:rsidR="000D75E8">
        <w:rPr>
          <w:rFonts w:ascii="Arial" w:hAnsi="Arial" w:cs="Arial"/>
          <w:sz w:val="22"/>
          <w:szCs w:val="22"/>
        </w:rPr>
        <w:t>g with a comprehensive resource</w:t>
      </w:r>
      <w:r>
        <w:rPr>
          <w:rFonts w:ascii="Arial" w:hAnsi="Arial" w:cs="Arial"/>
          <w:sz w:val="22"/>
          <w:szCs w:val="22"/>
        </w:rPr>
        <w:t xml:space="preserve"> from the SMALP academic community. These are not essential reading, however they are a useful resource to consult as needed.</w:t>
      </w:r>
    </w:p>
    <w:p w14:paraId="15D96438" w14:textId="77777777" w:rsidR="00D86187" w:rsidRDefault="00D86187" w:rsidP="00D86187">
      <w:pPr>
        <w:ind w:left="720"/>
        <w:jc w:val="both"/>
        <w:rPr>
          <w:rFonts w:ascii="Arial" w:hAnsi="Arial" w:cs="Arial"/>
          <w:sz w:val="22"/>
          <w:szCs w:val="22"/>
        </w:rPr>
      </w:pPr>
    </w:p>
    <w:p w14:paraId="4FE66659" w14:textId="77777777" w:rsidR="00D86187" w:rsidRPr="006E5351" w:rsidRDefault="00D86187" w:rsidP="00D86187">
      <w:pPr>
        <w:ind w:left="720"/>
        <w:jc w:val="both"/>
        <w:rPr>
          <w:rFonts w:ascii="Arial" w:hAnsi="Arial" w:cs="Arial"/>
          <w:sz w:val="22"/>
          <w:szCs w:val="22"/>
        </w:rPr>
      </w:pPr>
    </w:p>
    <w:p w14:paraId="54F15267" w14:textId="77777777" w:rsidR="00D86187" w:rsidRPr="00010A52" w:rsidRDefault="00D86187" w:rsidP="00D86187">
      <w:pPr>
        <w:ind w:left="720"/>
        <w:jc w:val="both"/>
        <w:rPr>
          <w:rFonts w:ascii="Arial" w:hAnsi="Arial" w:cs="Arial"/>
          <w:b/>
        </w:rPr>
      </w:pPr>
      <w:r w:rsidRPr="00010A52">
        <w:rPr>
          <w:rFonts w:ascii="Arial" w:hAnsi="Arial" w:cs="Arial"/>
          <w:b/>
        </w:rPr>
        <w:t>Key papers</w:t>
      </w:r>
    </w:p>
    <w:p w14:paraId="48F30CBD" w14:textId="77777777" w:rsidR="00D86187" w:rsidRPr="0017106D" w:rsidRDefault="00D86187" w:rsidP="00D86187">
      <w:pPr>
        <w:pStyle w:val="ListParagraph"/>
        <w:numPr>
          <w:ilvl w:val="0"/>
          <w:numId w:val="1"/>
        </w:numPr>
        <w:ind w:left="1440"/>
        <w:jc w:val="both"/>
        <w:rPr>
          <w:rFonts w:ascii="Arial" w:hAnsi="Arial" w:cs="Arial"/>
        </w:rPr>
      </w:pPr>
      <w:proofErr w:type="spellStart"/>
      <w:r w:rsidRPr="0017106D">
        <w:rPr>
          <w:rFonts w:ascii="Arial" w:hAnsi="Arial" w:cs="Arial"/>
        </w:rPr>
        <w:t>Orwick</w:t>
      </w:r>
      <w:proofErr w:type="spellEnd"/>
      <w:r w:rsidRPr="0017106D">
        <w:rPr>
          <w:rFonts w:ascii="Arial" w:hAnsi="Arial" w:cs="Arial"/>
        </w:rPr>
        <w:t xml:space="preserve">, M. C. et al. Detergent-free formation and physicochemical characterization of nanosized lipid-polymer complexes: </w:t>
      </w:r>
      <w:proofErr w:type="spellStart"/>
      <w:r w:rsidRPr="0017106D">
        <w:rPr>
          <w:rFonts w:ascii="Arial" w:hAnsi="Arial" w:cs="Arial"/>
        </w:rPr>
        <w:t>Lipodisq</w:t>
      </w:r>
      <w:proofErr w:type="spellEnd"/>
      <w:r w:rsidRPr="0017106D">
        <w:rPr>
          <w:rFonts w:ascii="Arial" w:hAnsi="Arial" w:cs="Arial"/>
        </w:rPr>
        <w:t xml:space="preserve">. </w:t>
      </w:r>
      <w:proofErr w:type="spellStart"/>
      <w:r w:rsidRPr="0017106D">
        <w:rPr>
          <w:rFonts w:ascii="Arial" w:hAnsi="Arial" w:cs="Arial"/>
        </w:rPr>
        <w:t>Angew</w:t>
      </w:r>
      <w:proofErr w:type="spellEnd"/>
      <w:r w:rsidRPr="0017106D">
        <w:rPr>
          <w:rFonts w:ascii="Arial" w:hAnsi="Arial" w:cs="Arial"/>
        </w:rPr>
        <w:t xml:space="preserve">. </w:t>
      </w:r>
      <w:proofErr w:type="spellStart"/>
      <w:r w:rsidRPr="0017106D">
        <w:rPr>
          <w:rFonts w:ascii="Arial" w:hAnsi="Arial" w:cs="Arial"/>
        </w:rPr>
        <w:t>Chemie</w:t>
      </w:r>
      <w:proofErr w:type="spellEnd"/>
      <w:r w:rsidRPr="0017106D">
        <w:rPr>
          <w:rFonts w:ascii="Arial" w:hAnsi="Arial" w:cs="Arial"/>
        </w:rPr>
        <w:t xml:space="preserve"> - Int. Ed. 51, 4653–4657 (2012).</w:t>
      </w:r>
    </w:p>
    <w:p w14:paraId="2F3C87E7" w14:textId="77777777" w:rsidR="00D86187" w:rsidRPr="0017106D" w:rsidRDefault="00D86187" w:rsidP="00D86187">
      <w:pPr>
        <w:pStyle w:val="ListParagraph"/>
        <w:numPr>
          <w:ilvl w:val="0"/>
          <w:numId w:val="1"/>
        </w:numPr>
        <w:ind w:left="1440"/>
        <w:jc w:val="both"/>
        <w:rPr>
          <w:rFonts w:ascii="Arial" w:hAnsi="Arial" w:cs="Arial"/>
        </w:rPr>
      </w:pPr>
      <w:r w:rsidRPr="0017106D">
        <w:rPr>
          <w:rFonts w:ascii="Arial" w:hAnsi="Arial" w:cs="Arial"/>
        </w:rPr>
        <w:t>Knowles, T. J. et al. Membrane proteins solubilized intact in lipid containing nanoparticles bounded by styrene maleic acid copolymer. J. Am. Chem. Soc. 131, 7484–7485 (2009).</w:t>
      </w:r>
    </w:p>
    <w:p w14:paraId="40366935" w14:textId="77777777" w:rsidR="00D86187" w:rsidRPr="0017106D" w:rsidRDefault="00D86187" w:rsidP="00D86187">
      <w:pPr>
        <w:pStyle w:val="ListParagraph"/>
        <w:numPr>
          <w:ilvl w:val="0"/>
          <w:numId w:val="1"/>
        </w:numPr>
        <w:ind w:left="1440"/>
        <w:jc w:val="both"/>
        <w:rPr>
          <w:rFonts w:ascii="Arial" w:hAnsi="Arial" w:cs="Arial"/>
        </w:rPr>
      </w:pPr>
      <w:proofErr w:type="spellStart"/>
      <w:r w:rsidRPr="0017106D">
        <w:rPr>
          <w:rFonts w:ascii="Arial" w:hAnsi="Arial" w:cs="Arial"/>
        </w:rPr>
        <w:t>Orwick-Rydmark</w:t>
      </w:r>
      <w:proofErr w:type="spellEnd"/>
      <w:r w:rsidRPr="0017106D">
        <w:rPr>
          <w:rFonts w:ascii="Arial" w:hAnsi="Arial" w:cs="Arial"/>
        </w:rPr>
        <w:t xml:space="preserve">, M. et al. Detergent-free incorporation of a seven-transmembrane receptor protein into nanosized bilayer </w:t>
      </w:r>
      <w:proofErr w:type="spellStart"/>
      <w:r w:rsidRPr="0017106D">
        <w:rPr>
          <w:rFonts w:ascii="Arial" w:hAnsi="Arial" w:cs="Arial"/>
        </w:rPr>
        <w:t>lipodisq</w:t>
      </w:r>
      <w:proofErr w:type="spellEnd"/>
      <w:r w:rsidRPr="0017106D">
        <w:rPr>
          <w:rFonts w:ascii="Arial" w:hAnsi="Arial" w:cs="Arial"/>
        </w:rPr>
        <w:t xml:space="preserve"> particles for functional and biophysical studies. Nano Lett. 12, 4687–4692 (2012).</w:t>
      </w:r>
    </w:p>
    <w:p w14:paraId="026EEA41" w14:textId="77777777" w:rsidR="00D86187" w:rsidRPr="0017106D" w:rsidRDefault="00D86187" w:rsidP="00D86187">
      <w:pPr>
        <w:pStyle w:val="ListParagraph"/>
        <w:numPr>
          <w:ilvl w:val="0"/>
          <w:numId w:val="1"/>
        </w:numPr>
        <w:ind w:left="1440"/>
        <w:jc w:val="both"/>
        <w:rPr>
          <w:rFonts w:ascii="Arial" w:hAnsi="Arial" w:cs="Arial"/>
        </w:rPr>
      </w:pPr>
      <w:proofErr w:type="spellStart"/>
      <w:r w:rsidRPr="0017106D">
        <w:rPr>
          <w:rFonts w:ascii="Arial" w:hAnsi="Arial" w:cs="Arial"/>
        </w:rPr>
        <w:t>Swainsbury</w:t>
      </w:r>
      <w:proofErr w:type="spellEnd"/>
      <w:r w:rsidRPr="0017106D">
        <w:rPr>
          <w:rFonts w:ascii="Arial" w:hAnsi="Arial" w:cs="Arial"/>
        </w:rPr>
        <w:t xml:space="preserve">, D. J. K., </w:t>
      </w:r>
      <w:proofErr w:type="spellStart"/>
      <w:r w:rsidRPr="0017106D">
        <w:rPr>
          <w:rFonts w:ascii="Arial" w:hAnsi="Arial" w:cs="Arial"/>
        </w:rPr>
        <w:t>Scheidelaar</w:t>
      </w:r>
      <w:proofErr w:type="spellEnd"/>
      <w:r w:rsidRPr="0017106D">
        <w:rPr>
          <w:rFonts w:ascii="Arial" w:hAnsi="Arial" w:cs="Arial"/>
        </w:rPr>
        <w:t>, S., van </w:t>
      </w:r>
      <w:proofErr w:type="spellStart"/>
      <w:r w:rsidRPr="0017106D">
        <w:rPr>
          <w:rFonts w:ascii="Arial" w:hAnsi="Arial" w:cs="Arial"/>
        </w:rPr>
        <w:t>Grondelle</w:t>
      </w:r>
      <w:proofErr w:type="spellEnd"/>
      <w:r w:rsidRPr="0017106D">
        <w:rPr>
          <w:rFonts w:ascii="Arial" w:hAnsi="Arial" w:cs="Arial"/>
        </w:rPr>
        <w:t xml:space="preserve">, R., Killian, J. A. &amp; Jones, M. R. Bacterial Reaction </w:t>
      </w:r>
      <w:proofErr w:type="spellStart"/>
      <w:r w:rsidRPr="0017106D">
        <w:rPr>
          <w:rFonts w:ascii="Arial" w:hAnsi="Arial" w:cs="Arial"/>
        </w:rPr>
        <w:t>Centers</w:t>
      </w:r>
      <w:proofErr w:type="spellEnd"/>
      <w:r w:rsidRPr="0017106D">
        <w:rPr>
          <w:rFonts w:ascii="Arial" w:hAnsi="Arial" w:cs="Arial"/>
        </w:rPr>
        <w:t xml:space="preserve"> Purified with Styrene Maleic Acid Copolymer Retain Native Membrane Functional Properties and Display Enhanced Stability. </w:t>
      </w:r>
      <w:proofErr w:type="spellStart"/>
      <w:r w:rsidRPr="0017106D">
        <w:rPr>
          <w:rFonts w:ascii="Arial" w:hAnsi="Arial" w:cs="Arial"/>
        </w:rPr>
        <w:t>Angew</w:t>
      </w:r>
      <w:proofErr w:type="spellEnd"/>
      <w:r w:rsidRPr="0017106D">
        <w:rPr>
          <w:rFonts w:ascii="Arial" w:hAnsi="Arial" w:cs="Arial"/>
        </w:rPr>
        <w:t xml:space="preserve">. </w:t>
      </w:r>
      <w:proofErr w:type="spellStart"/>
      <w:r w:rsidRPr="0017106D">
        <w:rPr>
          <w:rFonts w:ascii="Arial" w:hAnsi="Arial" w:cs="Arial"/>
        </w:rPr>
        <w:t>Chemie</w:t>
      </w:r>
      <w:proofErr w:type="spellEnd"/>
      <w:r w:rsidRPr="0017106D">
        <w:rPr>
          <w:rFonts w:ascii="Arial" w:hAnsi="Arial" w:cs="Arial"/>
        </w:rPr>
        <w:t xml:space="preserve"> Int. Ed. 53, 11803–11807 (2014).</w:t>
      </w:r>
    </w:p>
    <w:p w14:paraId="741D647A" w14:textId="77777777" w:rsidR="00D86187" w:rsidRDefault="00D86187" w:rsidP="00D86187">
      <w:pPr>
        <w:pStyle w:val="ListParagraph"/>
        <w:numPr>
          <w:ilvl w:val="0"/>
          <w:numId w:val="1"/>
        </w:numPr>
        <w:ind w:left="1440"/>
        <w:jc w:val="both"/>
        <w:rPr>
          <w:rFonts w:ascii="Arial" w:hAnsi="Arial" w:cs="Arial"/>
        </w:rPr>
      </w:pPr>
      <w:proofErr w:type="spellStart"/>
      <w:r w:rsidRPr="0017106D">
        <w:rPr>
          <w:rFonts w:ascii="Arial" w:hAnsi="Arial" w:cs="Arial"/>
        </w:rPr>
        <w:t>Scheidelaar</w:t>
      </w:r>
      <w:proofErr w:type="spellEnd"/>
      <w:r w:rsidRPr="0017106D">
        <w:rPr>
          <w:rFonts w:ascii="Arial" w:hAnsi="Arial" w:cs="Arial"/>
        </w:rPr>
        <w:t xml:space="preserve">, S. et al. Molecular Model for the Solubilization of Membranes into </w:t>
      </w:r>
      <w:proofErr w:type="spellStart"/>
      <w:r w:rsidRPr="0017106D">
        <w:rPr>
          <w:rFonts w:ascii="Arial" w:hAnsi="Arial" w:cs="Arial"/>
        </w:rPr>
        <w:t>Nanodisks</w:t>
      </w:r>
      <w:proofErr w:type="spellEnd"/>
      <w:r w:rsidRPr="0017106D">
        <w:rPr>
          <w:rFonts w:ascii="Arial" w:hAnsi="Arial" w:cs="Arial"/>
        </w:rPr>
        <w:t xml:space="preserve"> by Styrene Maleic Acid Copolymers. </w:t>
      </w:r>
      <w:proofErr w:type="spellStart"/>
      <w:r w:rsidRPr="0017106D">
        <w:rPr>
          <w:rFonts w:ascii="Arial" w:hAnsi="Arial" w:cs="Arial"/>
        </w:rPr>
        <w:t>Biophys</w:t>
      </w:r>
      <w:proofErr w:type="spellEnd"/>
      <w:r w:rsidRPr="0017106D">
        <w:rPr>
          <w:rFonts w:ascii="Arial" w:hAnsi="Arial" w:cs="Arial"/>
        </w:rPr>
        <w:t xml:space="preserve">. J. 108, 279–290 (2015). </w:t>
      </w:r>
    </w:p>
    <w:p w14:paraId="26A48440" w14:textId="77777777" w:rsidR="00D86187" w:rsidRDefault="00D86187" w:rsidP="00D86187">
      <w:pPr>
        <w:ind w:left="720"/>
        <w:jc w:val="both"/>
        <w:rPr>
          <w:rFonts w:ascii="Arial" w:hAnsi="Arial" w:cs="Arial"/>
        </w:rPr>
      </w:pPr>
    </w:p>
    <w:p w14:paraId="10725342" w14:textId="77777777" w:rsidR="00D86187" w:rsidRDefault="00D86187" w:rsidP="00D86187">
      <w:pPr>
        <w:ind w:left="720"/>
        <w:jc w:val="both"/>
        <w:rPr>
          <w:rFonts w:ascii="Arial" w:hAnsi="Arial" w:cs="Arial"/>
        </w:rPr>
      </w:pPr>
      <w:r>
        <w:rPr>
          <w:rFonts w:ascii="Arial" w:hAnsi="Arial" w:cs="Arial"/>
        </w:rPr>
        <w:t xml:space="preserve">Further resources: </w:t>
      </w:r>
      <w:hyperlink r:id="rId7" w:history="1">
        <w:r w:rsidRPr="005E1F07">
          <w:rPr>
            <w:rStyle w:val="Hyperlink"/>
            <w:rFonts w:ascii="Arial" w:hAnsi="Arial" w:cs="Arial"/>
          </w:rPr>
          <w:t>www.smalp.net</w:t>
        </w:r>
      </w:hyperlink>
    </w:p>
    <w:p w14:paraId="0CF0D3CF" w14:textId="77777777" w:rsidR="00D86187" w:rsidRDefault="00D86187" w:rsidP="00D86187">
      <w:pPr>
        <w:jc w:val="both"/>
        <w:rPr>
          <w:rFonts w:ascii="Arial" w:hAnsi="Arial" w:cs="Arial"/>
        </w:rPr>
      </w:pPr>
    </w:p>
    <w:p w14:paraId="0DFA74F5" w14:textId="77777777" w:rsidR="00D86187" w:rsidRPr="006E5351" w:rsidRDefault="00D86187" w:rsidP="00D86187">
      <w:pPr>
        <w:pStyle w:val="ListParagraph"/>
        <w:numPr>
          <w:ilvl w:val="0"/>
          <w:numId w:val="2"/>
        </w:numPr>
        <w:jc w:val="both"/>
        <w:rPr>
          <w:rFonts w:ascii="Arial" w:hAnsi="Arial" w:cs="Arial"/>
          <w:b/>
        </w:rPr>
      </w:pPr>
      <w:r w:rsidRPr="006E5351">
        <w:rPr>
          <w:rFonts w:ascii="Arial" w:hAnsi="Arial" w:cs="Arial"/>
        </w:rPr>
        <w:br w:type="page"/>
      </w:r>
      <w:r w:rsidRPr="006E5351">
        <w:rPr>
          <w:rFonts w:ascii="Arial" w:hAnsi="Arial" w:cs="Arial"/>
          <w:b/>
        </w:rPr>
        <w:lastRenderedPageBreak/>
        <w:t xml:space="preserve">Scenario for Assignment </w:t>
      </w:r>
    </w:p>
    <w:p w14:paraId="5C659CCA" w14:textId="77777777" w:rsidR="00D86187" w:rsidRPr="006E5351" w:rsidRDefault="00D86187" w:rsidP="00D86187">
      <w:pPr>
        <w:jc w:val="both"/>
        <w:rPr>
          <w:rFonts w:ascii="Arial" w:hAnsi="Arial" w:cs="Arial"/>
          <w:sz w:val="22"/>
          <w:szCs w:val="22"/>
        </w:rPr>
      </w:pPr>
    </w:p>
    <w:p w14:paraId="413CDDA8" w14:textId="77777777" w:rsidR="00D86187" w:rsidRDefault="00D86187" w:rsidP="00D86187">
      <w:pPr>
        <w:jc w:val="both"/>
        <w:rPr>
          <w:rFonts w:ascii="Arial" w:hAnsi="Arial" w:cs="Arial"/>
          <w:sz w:val="22"/>
          <w:szCs w:val="22"/>
        </w:rPr>
      </w:pPr>
    </w:p>
    <w:p w14:paraId="57103B90" w14:textId="77777777" w:rsidR="00D86187" w:rsidRPr="000D75E8" w:rsidRDefault="00D86187" w:rsidP="00D86187">
      <w:pPr>
        <w:jc w:val="both"/>
        <w:rPr>
          <w:rFonts w:ascii="Arial" w:hAnsi="Arial" w:cs="Arial"/>
          <w:sz w:val="22"/>
          <w:szCs w:val="22"/>
        </w:rPr>
      </w:pPr>
      <w:r w:rsidRPr="006E5351">
        <w:rPr>
          <w:rFonts w:ascii="Arial" w:hAnsi="Arial" w:cs="Arial"/>
          <w:b/>
          <w:sz w:val="22"/>
          <w:szCs w:val="22"/>
        </w:rPr>
        <w:t>CRO Scenario</w:t>
      </w:r>
      <w:r w:rsidRPr="006E5351">
        <w:rPr>
          <w:rFonts w:ascii="Arial" w:hAnsi="Arial" w:cs="Arial"/>
          <w:sz w:val="22"/>
          <w:szCs w:val="22"/>
        </w:rPr>
        <w:t xml:space="preserve">: A contract research organisation (CRO Co) is evaluating the freedom to operate in the supply of therapeutic antibody discovery services </w:t>
      </w:r>
      <w:r>
        <w:rPr>
          <w:rFonts w:ascii="Arial" w:hAnsi="Arial" w:cs="Arial"/>
          <w:sz w:val="22"/>
          <w:szCs w:val="22"/>
        </w:rPr>
        <w:t xml:space="preserve">to membrane proteins </w:t>
      </w:r>
      <w:r w:rsidRPr="006E5351">
        <w:rPr>
          <w:rFonts w:ascii="Arial" w:hAnsi="Arial" w:cs="Arial"/>
          <w:sz w:val="22"/>
          <w:szCs w:val="22"/>
        </w:rPr>
        <w:t>using SMALP</w:t>
      </w:r>
      <w:r w:rsidR="000D75E8">
        <w:rPr>
          <w:rFonts w:ascii="Arial" w:hAnsi="Arial" w:cs="Arial"/>
          <w:sz w:val="22"/>
          <w:szCs w:val="22"/>
        </w:rPr>
        <w:t>s</w:t>
      </w:r>
      <w:r w:rsidRPr="006E5351">
        <w:rPr>
          <w:rFonts w:ascii="Arial" w:hAnsi="Arial" w:cs="Arial"/>
          <w:sz w:val="22"/>
          <w:szCs w:val="22"/>
        </w:rPr>
        <w:t xml:space="preserve"> </w:t>
      </w:r>
      <w:r w:rsidR="000D75E8">
        <w:rPr>
          <w:rFonts w:ascii="Arial" w:hAnsi="Arial" w:cs="Arial"/>
          <w:sz w:val="22"/>
          <w:szCs w:val="22"/>
        </w:rPr>
        <w:t xml:space="preserve">as a means of preparing target proteins and screening for antibodies with the desired properties </w:t>
      </w:r>
      <w:r w:rsidRPr="006E5351">
        <w:rPr>
          <w:rFonts w:ascii="Arial" w:hAnsi="Arial" w:cs="Arial"/>
          <w:sz w:val="22"/>
          <w:szCs w:val="22"/>
        </w:rPr>
        <w:t>(as set out below).</w:t>
      </w:r>
    </w:p>
    <w:p w14:paraId="24C9F2BC" w14:textId="77777777" w:rsidR="00D86187" w:rsidRPr="00396516" w:rsidRDefault="00D86187" w:rsidP="00D86187">
      <w:pPr>
        <w:ind w:left="709"/>
        <w:jc w:val="both"/>
        <w:rPr>
          <w:rFonts w:ascii="Arial" w:hAnsi="Arial" w:cs="Arial"/>
          <w:b/>
          <w:i/>
          <w:sz w:val="22"/>
          <w:szCs w:val="22"/>
        </w:rPr>
      </w:pPr>
    </w:p>
    <w:p w14:paraId="7271CD97" w14:textId="77777777" w:rsidR="00D86187" w:rsidRPr="006E5351" w:rsidRDefault="00D86187" w:rsidP="00D86187">
      <w:pPr>
        <w:jc w:val="both"/>
        <w:rPr>
          <w:rFonts w:ascii="Arial" w:hAnsi="Arial" w:cs="Arial"/>
          <w:b/>
          <w:sz w:val="22"/>
          <w:szCs w:val="22"/>
        </w:rPr>
      </w:pPr>
    </w:p>
    <w:p w14:paraId="12E91C02" w14:textId="77777777" w:rsidR="00D86187" w:rsidRPr="006E5351" w:rsidRDefault="00D86187" w:rsidP="00D86187">
      <w:pPr>
        <w:pStyle w:val="ListParagraph"/>
        <w:numPr>
          <w:ilvl w:val="0"/>
          <w:numId w:val="4"/>
        </w:numPr>
        <w:jc w:val="both"/>
        <w:rPr>
          <w:rFonts w:ascii="Arial" w:hAnsi="Arial" w:cs="Arial"/>
          <w:b/>
        </w:rPr>
      </w:pPr>
      <w:r w:rsidRPr="006E5351">
        <w:rPr>
          <w:rFonts w:ascii="Arial" w:hAnsi="Arial" w:cs="Arial"/>
          <w:b/>
        </w:rPr>
        <w:t xml:space="preserve">The </w:t>
      </w:r>
      <w:r w:rsidR="000D75E8">
        <w:rPr>
          <w:rFonts w:ascii="Arial" w:hAnsi="Arial" w:cs="Arial"/>
          <w:b/>
        </w:rPr>
        <w:t>proposed service</w:t>
      </w:r>
    </w:p>
    <w:p w14:paraId="13E43FD6" w14:textId="77777777" w:rsidR="00D86187" w:rsidRDefault="00D86187" w:rsidP="00D86187">
      <w:pPr>
        <w:ind w:left="1134" w:hanging="425"/>
        <w:jc w:val="both"/>
        <w:rPr>
          <w:rFonts w:ascii="Arial" w:hAnsi="Arial" w:cs="Arial"/>
        </w:rPr>
      </w:pPr>
    </w:p>
    <w:p w14:paraId="3671B6AE" w14:textId="77777777" w:rsidR="00D86187" w:rsidRDefault="00D86187" w:rsidP="00D86187">
      <w:pPr>
        <w:pStyle w:val="ListParagraph"/>
        <w:numPr>
          <w:ilvl w:val="0"/>
          <w:numId w:val="5"/>
        </w:numPr>
        <w:ind w:left="1134" w:hanging="425"/>
        <w:jc w:val="both"/>
        <w:rPr>
          <w:rFonts w:ascii="Arial" w:hAnsi="Arial" w:cs="Arial"/>
        </w:rPr>
      </w:pPr>
      <w:r>
        <w:rPr>
          <w:rFonts w:ascii="Arial" w:hAnsi="Arial" w:cs="Arial"/>
        </w:rPr>
        <w:t>Membrane proteins will be expressed in relevant mammalian</w:t>
      </w:r>
      <w:r w:rsidR="000D75E8">
        <w:rPr>
          <w:rFonts w:ascii="Arial" w:hAnsi="Arial" w:cs="Arial"/>
        </w:rPr>
        <w:t xml:space="preserve"> or other</w:t>
      </w:r>
      <w:r>
        <w:rPr>
          <w:rFonts w:ascii="Arial" w:hAnsi="Arial" w:cs="Arial"/>
        </w:rPr>
        <w:t xml:space="preserve"> cells </w:t>
      </w:r>
      <w:r w:rsidR="000D75E8">
        <w:rPr>
          <w:rFonts w:ascii="Arial" w:hAnsi="Arial" w:cs="Arial"/>
        </w:rPr>
        <w:t>as</w:t>
      </w:r>
      <w:r>
        <w:rPr>
          <w:rFonts w:ascii="Arial" w:hAnsi="Arial" w:cs="Arial"/>
        </w:rPr>
        <w:t xml:space="preserve"> a f</w:t>
      </w:r>
      <w:r w:rsidR="000D75E8">
        <w:rPr>
          <w:rFonts w:ascii="Arial" w:hAnsi="Arial" w:cs="Arial"/>
        </w:rPr>
        <w:t>usion protein</w:t>
      </w:r>
      <w:r>
        <w:rPr>
          <w:rFonts w:ascii="Arial" w:hAnsi="Arial" w:cs="Arial"/>
        </w:rPr>
        <w:t xml:space="preserve"> </w:t>
      </w:r>
      <w:r w:rsidR="000D75E8">
        <w:rPr>
          <w:rFonts w:ascii="Arial" w:hAnsi="Arial" w:cs="Arial"/>
        </w:rPr>
        <w:t>(</w:t>
      </w:r>
      <w:r>
        <w:rPr>
          <w:rFonts w:ascii="Arial" w:hAnsi="Arial" w:cs="Arial"/>
        </w:rPr>
        <w:t>that bears an affinity purification tag</w:t>
      </w:r>
      <w:r w:rsidR="000D75E8">
        <w:rPr>
          <w:rFonts w:ascii="Arial" w:hAnsi="Arial" w:cs="Arial"/>
        </w:rPr>
        <w:t>);</w:t>
      </w:r>
    </w:p>
    <w:p w14:paraId="437A050E" w14:textId="77777777" w:rsidR="00D86187" w:rsidRDefault="00D86187" w:rsidP="00D86187">
      <w:pPr>
        <w:pStyle w:val="ListParagraph"/>
        <w:numPr>
          <w:ilvl w:val="0"/>
          <w:numId w:val="5"/>
        </w:numPr>
        <w:ind w:left="1134" w:hanging="425"/>
        <w:jc w:val="both"/>
        <w:rPr>
          <w:rFonts w:ascii="Arial" w:hAnsi="Arial" w:cs="Arial"/>
        </w:rPr>
      </w:pPr>
      <w:r>
        <w:rPr>
          <w:rFonts w:ascii="Arial" w:hAnsi="Arial" w:cs="Arial"/>
        </w:rPr>
        <w:t xml:space="preserve">A target membrane protein will be </w:t>
      </w:r>
      <w:r w:rsidR="000D75E8">
        <w:rPr>
          <w:rFonts w:ascii="Arial" w:hAnsi="Arial" w:cs="Arial"/>
        </w:rPr>
        <w:t>extracted</w:t>
      </w:r>
      <w:r>
        <w:rPr>
          <w:rFonts w:ascii="Arial" w:hAnsi="Arial" w:cs="Arial"/>
        </w:rPr>
        <w:t xml:space="preserve"> from the cells by exposure of the cells to a styrene maleic acid co-polymer at a suitable concentration</w:t>
      </w:r>
      <w:r w:rsidR="000D75E8">
        <w:rPr>
          <w:rFonts w:ascii="Arial" w:hAnsi="Arial" w:cs="Arial"/>
        </w:rPr>
        <w:t>;</w:t>
      </w:r>
    </w:p>
    <w:p w14:paraId="3B20CDBE" w14:textId="77777777" w:rsidR="00D86187" w:rsidRDefault="00D86187" w:rsidP="00D86187">
      <w:pPr>
        <w:pStyle w:val="ListParagraph"/>
        <w:numPr>
          <w:ilvl w:val="0"/>
          <w:numId w:val="5"/>
        </w:numPr>
        <w:ind w:left="1134" w:hanging="425"/>
        <w:jc w:val="both"/>
        <w:rPr>
          <w:rFonts w:ascii="Arial" w:hAnsi="Arial" w:cs="Arial"/>
        </w:rPr>
      </w:pPr>
      <w:r w:rsidRPr="006E5351">
        <w:rPr>
          <w:rFonts w:ascii="Arial" w:hAnsi="Arial" w:cs="Arial"/>
        </w:rPr>
        <w:t>Styren</w:t>
      </w:r>
      <w:r w:rsidR="000D75E8">
        <w:rPr>
          <w:rFonts w:ascii="Arial" w:hAnsi="Arial" w:cs="Arial"/>
        </w:rPr>
        <w:t>e Maleic Acid ("SMA") Copolymer</w:t>
      </w:r>
      <w:r w:rsidRPr="006E5351">
        <w:rPr>
          <w:rFonts w:ascii="Arial" w:hAnsi="Arial" w:cs="Arial"/>
        </w:rPr>
        <w:t xml:space="preserve"> </w:t>
      </w:r>
      <w:r>
        <w:rPr>
          <w:rFonts w:ascii="Arial" w:hAnsi="Arial" w:cs="Arial"/>
        </w:rPr>
        <w:t xml:space="preserve">will be prepared from a precursor </w:t>
      </w:r>
      <w:r w:rsidR="000D75E8">
        <w:rPr>
          <w:rFonts w:ascii="Arial" w:hAnsi="Arial" w:cs="Arial"/>
        </w:rPr>
        <w:t xml:space="preserve">source: </w:t>
      </w:r>
      <w:r>
        <w:rPr>
          <w:rFonts w:ascii="Arial" w:hAnsi="Arial" w:cs="Arial"/>
        </w:rPr>
        <w:t>styrene maleic anhydride (</w:t>
      </w:r>
      <w:proofErr w:type="spellStart"/>
      <w:r w:rsidRPr="006E5351">
        <w:rPr>
          <w:rFonts w:ascii="Arial" w:hAnsi="Arial" w:cs="Arial"/>
        </w:rPr>
        <w:t>Xiran</w:t>
      </w:r>
      <w:proofErr w:type="spellEnd"/>
      <w:r w:rsidRPr="006E5351">
        <w:rPr>
          <w:rFonts w:ascii="Arial" w:hAnsi="Arial" w:cs="Arial"/>
        </w:rPr>
        <w:t xml:space="preserve"> SZ25010: S/MA ratio 3:1;  Mw 10000 from </w:t>
      </w:r>
      <w:proofErr w:type="spellStart"/>
      <w:r w:rsidRPr="006E5351">
        <w:rPr>
          <w:rFonts w:ascii="Arial" w:hAnsi="Arial" w:cs="Arial"/>
        </w:rPr>
        <w:t>Polyscope</w:t>
      </w:r>
      <w:proofErr w:type="spellEnd"/>
      <w:r w:rsidR="000D75E8">
        <w:rPr>
          <w:rFonts w:ascii="Arial" w:hAnsi="Arial" w:cs="Arial"/>
        </w:rPr>
        <w:t>);</w:t>
      </w:r>
    </w:p>
    <w:p w14:paraId="7481BBD3" w14:textId="77777777" w:rsidR="00D86187" w:rsidRDefault="00D86187" w:rsidP="00D86187">
      <w:pPr>
        <w:pStyle w:val="ListParagraph"/>
        <w:numPr>
          <w:ilvl w:val="0"/>
          <w:numId w:val="5"/>
        </w:numPr>
        <w:ind w:left="1134" w:hanging="425"/>
        <w:jc w:val="both"/>
        <w:rPr>
          <w:rFonts w:ascii="Arial" w:hAnsi="Arial" w:cs="Arial"/>
        </w:rPr>
      </w:pPr>
      <w:r>
        <w:rPr>
          <w:rFonts w:ascii="Arial" w:hAnsi="Arial" w:cs="Arial"/>
        </w:rPr>
        <w:t xml:space="preserve">The active styrene maleic acid polymer will be prepared using the protocol </w:t>
      </w:r>
      <w:proofErr w:type="gramStart"/>
      <w:r>
        <w:rPr>
          <w:rFonts w:ascii="Arial" w:hAnsi="Arial" w:cs="Arial"/>
        </w:rPr>
        <w:t xml:space="preserve">from  </w:t>
      </w:r>
      <w:r w:rsidRPr="00F31C3F">
        <w:rPr>
          <w:rFonts w:ascii="Arial" w:hAnsi="Arial" w:cs="Arial"/>
        </w:rPr>
        <w:t>Nat</w:t>
      </w:r>
      <w:proofErr w:type="gramEnd"/>
      <w:r w:rsidRPr="00F31C3F">
        <w:rPr>
          <w:rFonts w:ascii="Arial" w:hAnsi="Arial" w:cs="Arial"/>
        </w:rPr>
        <w:t xml:space="preserve"> </w:t>
      </w:r>
      <w:proofErr w:type="spellStart"/>
      <w:r w:rsidRPr="00F31C3F">
        <w:rPr>
          <w:rFonts w:ascii="Arial" w:hAnsi="Arial" w:cs="Arial"/>
        </w:rPr>
        <w:t>Protoc</w:t>
      </w:r>
      <w:proofErr w:type="spellEnd"/>
      <w:r w:rsidRPr="00F31C3F">
        <w:rPr>
          <w:rFonts w:ascii="Arial" w:hAnsi="Arial" w:cs="Arial"/>
        </w:rPr>
        <w:t>. 2016 Jul;11(7):1149-</w:t>
      </w:r>
      <w:proofErr w:type="gramStart"/>
      <w:r w:rsidRPr="00F31C3F">
        <w:rPr>
          <w:rFonts w:ascii="Arial" w:hAnsi="Arial" w:cs="Arial"/>
        </w:rPr>
        <w:t>62</w:t>
      </w:r>
      <w:r>
        <w:rPr>
          <w:rFonts w:ascii="Arial" w:hAnsi="Arial" w:cs="Arial"/>
        </w:rPr>
        <w:t xml:space="preserve"> .</w:t>
      </w:r>
      <w:proofErr w:type="gramEnd"/>
      <w:r>
        <w:rPr>
          <w:rFonts w:ascii="Arial" w:hAnsi="Arial" w:cs="Arial"/>
        </w:rPr>
        <w:t xml:space="preserve"> In </w:t>
      </w:r>
      <w:r w:rsidR="000D75E8">
        <w:rPr>
          <w:rFonts w:ascii="Arial" w:hAnsi="Arial" w:cs="Arial"/>
        </w:rPr>
        <w:t>the</w:t>
      </w:r>
      <w:r>
        <w:rPr>
          <w:rFonts w:ascii="Arial" w:hAnsi="Arial" w:cs="Arial"/>
        </w:rPr>
        <w:t xml:space="preserve"> laboratories</w:t>
      </w:r>
      <w:r w:rsidR="000D75E8">
        <w:rPr>
          <w:rFonts w:ascii="Arial" w:hAnsi="Arial" w:cs="Arial"/>
        </w:rPr>
        <w:t xml:space="preserve"> of CRO Co.</w:t>
      </w:r>
      <w:r>
        <w:rPr>
          <w:rFonts w:ascii="Arial" w:hAnsi="Arial" w:cs="Arial"/>
        </w:rPr>
        <w:t xml:space="preserve">, activation of SMA using this protocol results in a product (styrene maleic acid) with HLB of 16.5, free </w:t>
      </w:r>
      <w:proofErr w:type="spellStart"/>
      <w:r>
        <w:rPr>
          <w:rFonts w:ascii="Arial" w:hAnsi="Arial" w:cs="Arial"/>
        </w:rPr>
        <w:t>monom</w:t>
      </w:r>
      <w:r w:rsidR="000D75E8">
        <w:rPr>
          <w:rFonts w:ascii="Arial" w:hAnsi="Arial" w:cs="Arial"/>
        </w:rPr>
        <w:t>ic</w:t>
      </w:r>
      <w:proofErr w:type="spellEnd"/>
      <w:r w:rsidR="000D75E8">
        <w:rPr>
          <w:rFonts w:ascii="Arial" w:hAnsi="Arial" w:cs="Arial"/>
        </w:rPr>
        <w:t xml:space="preserve"> styrene content of 0.</w:t>
      </w:r>
      <w:r w:rsidR="000756B7">
        <w:rPr>
          <w:rFonts w:ascii="Arial" w:hAnsi="Arial" w:cs="Arial"/>
        </w:rPr>
        <w:t>25</w:t>
      </w:r>
      <w:r w:rsidR="000D75E8">
        <w:rPr>
          <w:rFonts w:ascii="Arial" w:hAnsi="Arial" w:cs="Arial"/>
        </w:rPr>
        <w:t>% (by</w:t>
      </w:r>
      <w:r>
        <w:rPr>
          <w:rFonts w:ascii="Arial" w:hAnsi="Arial" w:cs="Arial"/>
        </w:rPr>
        <w:t xml:space="preserve"> weight), and free monomer maleic acid plus maleic anhydride of 0.3% by weight.</w:t>
      </w:r>
    </w:p>
    <w:p w14:paraId="300F8AA2" w14:textId="77777777" w:rsidR="00D86187" w:rsidRDefault="00D86187" w:rsidP="00D86187">
      <w:pPr>
        <w:pStyle w:val="ListParagraph"/>
        <w:numPr>
          <w:ilvl w:val="0"/>
          <w:numId w:val="5"/>
        </w:numPr>
        <w:ind w:left="1134" w:hanging="425"/>
        <w:jc w:val="both"/>
        <w:rPr>
          <w:rFonts w:ascii="Arial" w:hAnsi="Arial" w:cs="Arial"/>
        </w:rPr>
      </w:pPr>
      <w:r>
        <w:rPr>
          <w:rFonts w:ascii="Arial" w:hAnsi="Arial" w:cs="Arial"/>
        </w:rPr>
        <w:t>The target protein will be solubilised by SMA (as prepared above), purified using the appropriate affinity chromatography approaches to a suitable purity, and provided is to the client as a suspension in an appropriate buffer.</w:t>
      </w:r>
      <w:r w:rsidR="000D75E8">
        <w:rPr>
          <w:rFonts w:ascii="Arial" w:hAnsi="Arial" w:cs="Arial"/>
        </w:rPr>
        <w:t xml:space="preserve"> The client will perform the screening assays.</w:t>
      </w:r>
    </w:p>
    <w:p w14:paraId="5F4641CA" w14:textId="77777777" w:rsidR="00D86187" w:rsidRPr="00B54F46" w:rsidRDefault="00D86187" w:rsidP="00D86187">
      <w:pPr>
        <w:jc w:val="both"/>
        <w:rPr>
          <w:rFonts w:ascii="Arial" w:hAnsi="Arial" w:cs="Arial"/>
        </w:rPr>
      </w:pPr>
    </w:p>
    <w:p w14:paraId="2556D387" w14:textId="77777777" w:rsidR="00D86187" w:rsidRDefault="00D86187" w:rsidP="00D86187">
      <w:pPr>
        <w:jc w:val="both"/>
        <w:rPr>
          <w:rFonts w:ascii="Arial" w:hAnsi="Arial" w:cs="Arial"/>
        </w:rPr>
      </w:pPr>
    </w:p>
    <w:p w14:paraId="0EFDA029" w14:textId="77777777" w:rsidR="00D86187" w:rsidRDefault="00D86187" w:rsidP="00D86187">
      <w:pPr>
        <w:jc w:val="both"/>
        <w:rPr>
          <w:rFonts w:ascii="Arial" w:hAnsi="Arial" w:cs="Arial"/>
        </w:rPr>
      </w:pPr>
    </w:p>
    <w:p w14:paraId="32F60EA0" w14:textId="77777777" w:rsidR="00D86187" w:rsidRPr="006E5351" w:rsidRDefault="00D86187" w:rsidP="00D86187">
      <w:pPr>
        <w:pStyle w:val="ListParagraph"/>
        <w:numPr>
          <w:ilvl w:val="0"/>
          <w:numId w:val="2"/>
        </w:numPr>
        <w:jc w:val="both"/>
        <w:rPr>
          <w:rFonts w:ascii="Arial" w:hAnsi="Arial" w:cs="Arial"/>
          <w:b/>
        </w:rPr>
      </w:pPr>
      <w:r w:rsidRPr="006E5351">
        <w:rPr>
          <w:rFonts w:ascii="Arial" w:hAnsi="Arial" w:cs="Arial"/>
          <w:b/>
        </w:rPr>
        <w:t>Patent Search</w:t>
      </w:r>
    </w:p>
    <w:p w14:paraId="249BDFC7" w14:textId="77777777" w:rsidR="00D86187" w:rsidRPr="006E5351" w:rsidRDefault="00D86187" w:rsidP="00D86187">
      <w:pPr>
        <w:jc w:val="both"/>
        <w:rPr>
          <w:rFonts w:ascii="Arial" w:hAnsi="Arial" w:cs="Arial"/>
          <w:sz w:val="22"/>
          <w:szCs w:val="22"/>
        </w:rPr>
      </w:pPr>
    </w:p>
    <w:p w14:paraId="0AE48BFF" w14:textId="77777777" w:rsidR="00D86187" w:rsidRPr="006E5351" w:rsidRDefault="00D86187" w:rsidP="00D86187">
      <w:pPr>
        <w:ind w:left="720"/>
        <w:jc w:val="both"/>
        <w:rPr>
          <w:rFonts w:ascii="Arial" w:hAnsi="Arial" w:cs="Arial"/>
          <w:sz w:val="22"/>
          <w:szCs w:val="22"/>
        </w:rPr>
      </w:pPr>
      <w:r w:rsidRPr="006E5351">
        <w:rPr>
          <w:rFonts w:ascii="Arial" w:hAnsi="Arial" w:cs="Arial"/>
          <w:sz w:val="22"/>
          <w:szCs w:val="22"/>
        </w:rPr>
        <w:t xml:space="preserve">A patent search was conducted to provide the data to assess the freedom to operate in specific areas. The search was conducted by a professional patent search company in </w:t>
      </w:r>
      <w:proofErr w:type="spellStart"/>
      <w:r w:rsidRPr="006E5351">
        <w:rPr>
          <w:rFonts w:ascii="Arial" w:hAnsi="Arial" w:cs="Arial"/>
          <w:sz w:val="22"/>
          <w:szCs w:val="22"/>
        </w:rPr>
        <w:t>PatBase</w:t>
      </w:r>
      <w:proofErr w:type="spellEnd"/>
      <w:r w:rsidRPr="006E5351">
        <w:rPr>
          <w:rFonts w:ascii="Arial" w:hAnsi="Arial" w:cs="Arial"/>
          <w:sz w:val="22"/>
          <w:szCs w:val="22"/>
        </w:rPr>
        <w:t xml:space="preserve">. You have been provided with the most relevant patents from this comprehensive patent search set </w:t>
      </w:r>
      <w:r w:rsidR="000D75E8">
        <w:rPr>
          <w:rFonts w:ascii="Arial" w:hAnsi="Arial" w:cs="Arial"/>
          <w:sz w:val="22"/>
          <w:szCs w:val="22"/>
        </w:rPr>
        <w:t>and the claims that are most relevant to the report have been highlighted. These are</w:t>
      </w:r>
      <w:r w:rsidRPr="006E5351">
        <w:rPr>
          <w:rFonts w:ascii="Arial" w:hAnsi="Arial" w:cs="Arial"/>
          <w:sz w:val="22"/>
          <w:szCs w:val="22"/>
        </w:rPr>
        <w:t xml:space="preserve"> set out below:</w:t>
      </w:r>
    </w:p>
    <w:p w14:paraId="7CDB59AD" w14:textId="77777777" w:rsidR="00D86187" w:rsidRPr="006E5351" w:rsidRDefault="00D86187" w:rsidP="00D86187">
      <w:pPr>
        <w:jc w:val="both"/>
        <w:rPr>
          <w:rFonts w:ascii="Arial" w:hAnsi="Arial" w:cs="Arial"/>
          <w:sz w:val="22"/>
          <w:szCs w:val="22"/>
        </w:rPr>
      </w:pPr>
    </w:p>
    <w:p w14:paraId="060C29DA" w14:textId="77777777" w:rsidR="00D86187" w:rsidRDefault="00D86187">
      <w:pPr>
        <w:spacing w:after="200" w:line="276" w:lineRule="auto"/>
        <w:rPr>
          <w:rFonts w:ascii="Arial" w:hAnsi="Arial" w:cs="Arial"/>
        </w:rPr>
      </w:pPr>
      <w:r>
        <w:rPr>
          <w:rFonts w:ascii="Arial" w:hAnsi="Arial" w:cs="Arial"/>
        </w:rPr>
        <w:br w:type="page"/>
      </w:r>
    </w:p>
    <w:p w14:paraId="1BAE482B" w14:textId="77777777" w:rsidR="00D86187" w:rsidRDefault="00D86187" w:rsidP="00D86187">
      <w:pPr>
        <w:jc w:val="both"/>
        <w:rPr>
          <w:rFonts w:ascii="Arial" w:hAnsi="Arial" w:cs="Arial"/>
        </w:rPr>
      </w:pPr>
    </w:p>
    <w:tbl>
      <w:tblPr>
        <w:tblStyle w:val="TableGrid"/>
        <w:tblW w:w="0" w:type="auto"/>
        <w:tblLayout w:type="fixed"/>
        <w:tblLook w:val="04A0" w:firstRow="1" w:lastRow="0" w:firstColumn="1" w:lastColumn="0" w:noHBand="0" w:noVBand="1"/>
      </w:tblPr>
      <w:tblGrid>
        <w:gridCol w:w="730"/>
        <w:gridCol w:w="2639"/>
        <w:gridCol w:w="1134"/>
        <w:gridCol w:w="3827"/>
        <w:gridCol w:w="912"/>
      </w:tblGrid>
      <w:tr w:rsidR="00D86187" w14:paraId="5FCA55E6" w14:textId="77777777" w:rsidTr="005833B9">
        <w:tc>
          <w:tcPr>
            <w:tcW w:w="730" w:type="dxa"/>
          </w:tcPr>
          <w:p w14:paraId="08136767" w14:textId="77777777" w:rsidR="00D86187" w:rsidRPr="006E5351" w:rsidRDefault="00D86187" w:rsidP="005833B9">
            <w:pPr>
              <w:rPr>
                <w:rFonts w:ascii="Arial" w:hAnsi="Arial" w:cs="Arial"/>
                <w:color w:val="000000"/>
                <w:sz w:val="22"/>
                <w:szCs w:val="22"/>
              </w:rPr>
            </w:pPr>
            <w:r w:rsidRPr="006E5351">
              <w:rPr>
                <w:rFonts w:ascii="Arial" w:hAnsi="Arial" w:cs="Arial"/>
                <w:color w:val="000000"/>
                <w:sz w:val="22"/>
                <w:szCs w:val="22"/>
              </w:rPr>
              <w:t>Case</w:t>
            </w:r>
          </w:p>
        </w:tc>
        <w:tc>
          <w:tcPr>
            <w:tcW w:w="2639" w:type="dxa"/>
          </w:tcPr>
          <w:p w14:paraId="6B727C5C" w14:textId="77777777" w:rsidR="00D86187" w:rsidRPr="006E5351" w:rsidRDefault="00D86187" w:rsidP="005833B9">
            <w:pPr>
              <w:rPr>
                <w:rFonts w:ascii="Arial" w:hAnsi="Arial" w:cs="Arial"/>
                <w:color w:val="333333"/>
                <w:sz w:val="22"/>
                <w:szCs w:val="22"/>
              </w:rPr>
            </w:pPr>
            <w:r w:rsidRPr="006E5351">
              <w:rPr>
                <w:rFonts w:ascii="Arial" w:hAnsi="Arial" w:cs="Arial"/>
                <w:color w:val="333333"/>
                <w:sz w:val="22"/>
                <w:szCs w:val="22"/>
              </w:rPr>
              <w:t>Title</w:t>
            </w:r>
          </w:p>
        </w:tc>
        <w:tc>
          <w:tcPr>
            <w:tcW w:w="1134" w:type="dxa"/>
          </w:tcPr>
          <w:p w14:paraId="2219BA21" w14:textId="77777777" w:rsidR="00D86187" w:rsidRPr="006E5351" w:rsidRDefault="00D86187" w:rsidP="005833B9">
            <w:pPr>
              <w:rPr>
                <w:rFonts w:ascii="Arial" w:hAnsi="Arial" w:cs="Arial"/>
                <w:b/>
                <w:bCs/>
                <w:color w:val="333333"/>
                <w:sz w:val="22"/>
                <w:szCs w:val="22"/>
              </w:rPr>
            </w:pPr>
            <w:r w:rsidRPr="006E5351">
              <w:rPr>
                <w:rFonts w:ascii="Arial" w:hAnsi="Arial" w:cs="Arial"/>
                <w:b/>
                <w:bCs/>
                <w:color w:val="333333"/>
                <w:sz w:val="22"/>
                <w:szCs w:val="22"/>
              </w:rPr>
              <w:t>Patent ID</w:t>
            </w:r>
          </w:p>
        </w:tc>
        <w:tc>
          <w:tcPr>
            <w:tcW w:w="3827" w:type="dxa"/>
          </w:tcPr>
          <w:p w14:paraId="50063C42" w14:textId="77777777" w:rsidR="00D86187" w:rsidRPr="006E5351" w:rsidRDefault="00D86187" w:rsidP="005833B9">
            <w:pPr>
              <w:rPr>
                <w:rFonts w:ascii="Arial" w:hAnsi="Arial" w:cs="Arial"/>
                <w:color w:val="333333"/>
                <w:sz w:val="22"/>
                <w:szCs w:val="22"/>
              </w:rPr>
            </w:pPr>
            <w:r w:rsidRPr="006E5351">
              <w:rPr>
                <w:rFonts w:ascii="Arial" w:hAnsi="Arial" w:cs="Arial"/>
                <w:color w:val="333333"/>
                <w:sz w:val="22"/>
                <w:szCs w:val="22"/>
              </w:rPr>
              <w:t>Abstract</w:t>
            </w:r>
          </w:p>
        </w:tc>
        <w:tc>
          <w:tcPr>
            <w:tcW w:w="912" w:type="dxa"/>
          </w:tcPr>
          <w:p w14:paraId="1A4299A1" w14:textId="77777777" w:rsidR="00D86187" w:rsidRDefault="00D86187" w:rsidP="005833B9">
            <w:pPr>
              <w:rPr>
                <w:rFonts w:ascii="Arial" w:hAnsi="Arial" w:cs="Arial"/>
                <w:color w:val="333333"/>
                <w:sz w:val="22"/>
                <w:szCs w:val="22"/>
              </w:rPr>
            </w:pPr>
            <w:r>
              <w:rPr>
                <w:rFonts w:ascii="Arial" w:hAnsi="Arial" w:cs="Arial"/>
                <w:color w:val="333333"/>
                <w:sz w:val="22"/>
                <w:szCs w:val="22"/>
              </w:rPr>
              <w:t>Claim</w:t>
            </w:r>
          </w:p>
          <w:p w14:paraId="080C6D50" w14:textId="77777777" w:rsidR="00D86187" w:rsidRPr="006E5351" w:rsidRDefault="00D86187" w:rsidP="005833B9">
            <w:pPr>
              <w:rPr>
                <w:rFonts w:ascii="Arial" w:hAnsi="Arial" w:cs="Arial"/>
                <w:color w:val="333333"/>
                <w:sz w:val="22"/>
                <w:szCs w:val="22"/>
              </w:rPr>
            </w:pPr>
          </w:p>
        </w:tc>
      </w:tr>
      <w:tr w:rsidR="00D86187" w14:paraId="6A04905A" w14:textId="77777777" w:rsidTr="005833B9">
        <w:tc>
          <w:tcPr>
            <w:tcW w:w="730" w:type="dxa"/>
          </w:tcPr>
          <w:p w14:paraId="704E4F77" w14:textId="77777777" w:rsidR="00D86187" w:rsidRPr="006E5351" w:rsidRDefault="00D86187" w:rsidP="005833B9">
            <w:pPr>
              <w:rPr>
                <w:rFonts w:ascii="Arial" w:hAnsi="Arial" w:cs="Arial"/>
                <w:color w:val="000000"/>
                <w:sz w:val="22"/>
                <w:szCs w:val="22"/>
              </w:rPr>
            </w:pPr>
            <w:r w:rsidRPr="006E5351">
              <w:rPr>
                <w:rFonts w:ascii="Arial" w:hAnsi="Arial" w:cs="Arial"/>
                <w:color w:val="000000"/>
                <w:sz w:val="22"/>
                <w:szCs w:val="22"/>
              </w:rPr>
              <w:t>4</w:t>
            </w:r>
          </w:p>
        </w:tc>
        <w:tc>
          <w:tcPr>
            <w:tcW w:w="2639" w:type="dxa"/>
          </w:tcPr>
          <w:p w14:paraId="074B6C30" w14:textId="77777777" w:rsidR="00D86187" w:rsidRPr="006E5351" w:rsidRDefault="00D86187" w:rsidP="005833B9">
            <w:pPr>
              <w:rPr>
                <w:rFonts w:ascii="Arial" w:hAnsi="Arial" w:cs="Arial"/>
                <w:color w:val="333333"/>
                <w:sz w:val="22"/>
                <w:szCs w:val="22"/>
              </w:rPr>
            </w:pPr>
            <w:r w:rsidRPr="006E5351">
              <w:rPr>
                <w:rFonts w:ascii="Arial" w:hAnsi="Arial" w:cs="Arial"/>
                <w:color w:val="333333"/>
                <w:sz w:val="22"/>
                <w:szCs w:val="22"/>
              </w:rPr>
              <w:t>SOLUBILISATION OF MEMBRANE PROTEINS</w:t>
            </w:r>
          </w:p>
        </w:tc>
        <w:tc>
          <w:tcPr>
            <w:tcW w:w="1134" w:type="dxa"/>
          </w:tcPr>
          <w:p w14:paraId="73822CE6" w14:textId="77777777" w:rsidR="00D86187" w:rsidRPr="006E5351" w:rsidRDefault="00D86187" w:rsidP="005833B9">
            <w:pPr>
              <w:rPr>
                <w:rFonts w:ascii="Arial" w:hAnsi="Arial" w:cs="Arial"/>
                <w:b/>
                <w:bCs/>
                <w:color w:val="333333"/>
                <w:sz w:val="22"/>
                <w:szCs w:val="22"/>
              </w:rPr>
            </w:pPr>
            <w:r w:rsidRPr="006E5351">
              <w:rPr>
                <w:rFonts w:ascii="Arial" w:hAnsi="Arial" w:cs="Arial"/>
                <w:b/>
                <w:bCs/>
                <w:color w:val="333333"/>
                <w:sz w:val="22"/>
                <w:szCs w:val="22"/>
              </w:rPr>
              <w:t>US2012142861B2</w:t>
            </w:r>
          </w:p>
        </w:tc>
        <w:tc>
          <w:tcPr>
            <w:tcW w:w="3827" w:type="dxa"/>
          </w:tcPr>
          <w:p w14:paraId="64016DFC" w14:textId="77777777" w:rsidR="00D86187" w:rsidRPr="006E5351" w:rsidRDefault="00D86187" w:rsidP="005833B9">
            <w:pPr>
              <w:rPr>
                <w:rFonts w:ascii="Arial" w:hAnsi="Arial" w:cs="Arial"/>
                <w:color w:val="333333"/>
                <w:sz w:val="22"/>
                <w:szCs w:val="22"/>
              </w:rPr>
            </w:pPr>
            <w:r w:rsidRPr="006E5351">
              <w:rPr>
                <w:rFonts w:ascii="Arial" w:hAnsi="Arial" w:cs="Arial"/>
                <w:color w:val="333333"/>
                <w:sz w:val="22"/>
                <w:szCs w:val="22"/>
              </w:rPr>
              <w:t xml:space="preserve">A method is provided for solubilising a membrane protein. The method is applied to cellular material comprising the membrane protein and an associated membrane lipid. A copolymer of styrene and maleic acid, wherein the </w:t>
            </w:r>
            <w:proofErr w:type="spellStart"/>
            <w:proofErr w:type="gramStart"/>
            <w:r w:rsidRPr="006E5351">
              <w:rPr>
                <w:rFonts w:ascii="Arial" w:hAnsi="Arial" w:cs="Arial"/>
                <w:color w:val="333333"/>
                <w:sz w:val="22"/>
                <w:szCs w:val="22"/>
              </w:rPr>
              <w:t>styrene:maleic</w:t>
            </w:r>
            <w:proofErr w:type="spellEnd"/>
            <w:proofErr w:type="gramEnd"/>
            <w:r w:rsidRPr="006E5351">
              <w:rPr>
                <w:rFonts w:ascii="Arial" w:hAnsi="Arial" w:cs="Arial"/>
                <w:color w:val="333333"/>
                <w:sz w:val="22"/>
                <w:szCs w:val="22"/>
              </w:rPr>
              <w:t xml:space="preserve"> acid ratio is between 1:2 and 10:1, is mixed with the cellular material to cause the copolymer, lipid and protein to form soluble macromolecular assemblies.</w:t>
            </w:r>
          </w:p>
        </w:tc>
        <w:tc>
          <w:tcPr>
            <w:tcW w:w="912" w:type="dxa"/>
          </w:tcPr>
          <w:p w14:paraId="25E55542" w14:textId="77777777" w:rsidR="00D86187" w:rsidRPr="006E5351" w:rsidRDefault="00D86187" w:rsidP="005833B9">
            <w:pPr>
              <w:rPr>
                <w:rFonts w:ascii="Arial" w:hAnsi="Arial" w:cs="Arial"/>
                <w:color w:val="333333"/>
                <w:sz w:val="22"/>
                <w:szCs w:val="22"/>
              </w:rPr>
            </w:pPr>
            <w:r>
              <w:rPr>
                <w:rFonts w:ascii="Arial" w:hAnsi="Arial" w:cs="Arial"/>
                <w:color w:val="333333"/>
                <w:sz w:val="22"/>
                <w:szCs w:val="22"/>
              </w:rPr>
              <w:t>1</w:t>
            </w:r>
          </w:p>
        </w:tc>
      </w:tr>
      <w:tr w:rsidR="00D86187" w14:paraId="7986E6BC" w14:textId="77777777" w:rsidTr="005833B9">
        <w:tc>
          <w:tcPr>
            <w:tcW w:w="730" w:type="dxa"/>
          </w:tcPr>
          <w:p w14:paraId="4C22C28F" w14:textId="77777777" w:rsidR="00D86187" w:rsidRPr="006E5351" w:rsidRDefault="00D86187" w:rsidP="005833B9">
            <w:pPr>
              <w:rPr>
                <w:rFonts w:ascii="Arial" w:hAnsi="Arial" w:cs="Arial"/>
                <w:color w:val="000000"/>
                <w:sz w:val="22"/>
                <w:szCs w:val="22"/>
              </w:rPr>
            </w:pPr>
            <w:r w:rsidRPr="006E5351">
              <w:rPr>
                <w:rFonts w:ascii="Arial" w:hAnsi="Arial" w:cs="Arial"/>
                <w:color w:val="000000"/>
                <w:sz w:val="22"/>
                <w:szCs w:val="22"/>
              </w:rPr>
              <w:t>11</w:t>
            </w:r>
          </w:p>
        </w:tc>
        <w:tc>
          <w:tcPr>
            <w:tcW w:w="2639" w:type="dxa"/>
          </w:tcPr>
          <w:p w14:paraId="6C8EB712" w14:textId="77777777" w:rsidR="00D86187" w:rsidRPr="006E5351" w:rsidRDefault="00D86187" w:rsidP="005833B9">
            <w:pPr>
              <w:rPr>
                <w:rFonts w:ascii="Arial" w:hAnsi="Arial" w:cs="Arial"/>
                <w:color w:val="333333"/>
                <w:sz w:val="22"/>
                <w:szCs w:val="22"/>
              </w:rPr>
            </w:pPr>
            <w:r w:rsidRPr="006E5351">
              <w:rPr>
                <w:rFonts w:ascii="Arial" w:hAnsi="Arial" w:cs="Arial"/>
                <w:color w:val="333333"/>
                <w:sz w:val="22"/>
                <w:szCs w:val="22"/>
              </w:rPr>
              <w:t>COMPOSITIONS COMPRISING MACROMOLECULAR ASSEMBLIES OF LIPID AND SURFACTANT</w:t>
            </w:r>
          </w:p>
        </w:tc>
        <w:tc>
          <w:tcPr>
            <w:tcW w:w="1134" w:type="dxa"/>
          </w:tcPr>
          <w:p w14:paraId="3A12268D" w14:textId="77777777" w:rsidR="00D86187" w:rsidRPr="006E5351" w:rsidRDefault="00D86187" w:rsidP="005833B9">
            <w:pPr>
              <w:rPr>
                <w:rFonts w:ascii="Arial" w:hAnsi="Arial" w:cs="Arial"/>
                <w:b/>
                <w:bCs/>
                <w:color w:val="333333"/>
                <w:sz w:val="22"/>
                <w:szCs w:val="22"/>
              </w:rPr>
            </w:pPr>
            <w:r w:rsidRPr="006E5351">
              <w:rPr>
                <w:rFonts w:ascii="Arial" w:hAnsi="Arial" w:cs="Arial"/>
                <w:b/>
                <w:bCs/>
                <w:color w:val="333333"/>
                <w:sz w:val="22"/>
                <w:szCs w:val="22"/>
              </w:rPr>
              <w:t>WO2008/065451</w:t>
            </w:r>
          </w:p>
        </w:tc>
        <w:tc>
          <w:tcPr>
            <w:tcW w:w="3827" w:type="dxa"/>
          </w:tcPr>
          <w:p w14:paraId="655DB02F" w14:textId="77777777" w:rsidR="00D86187" w:rsidRPr="006E5351" w:rsidRDefault="00D86187" w:rsidP="005833B9">
            <w:pPr>
              <w:rPr>
                <w:rFonts w:ascii="Arial" w:hAnsi="Arial" w:cs="Arial"/>
                <w:color w:val="333333"/>
                <w:sz w:val="22"/>
                <w:szCs w:val="22"/>
              </w:rPr>
            </w:pPr>
            <w:r w:rsidRPr="006E5351">
              <w:rPr>
                <w:rFonts w:ascii="Arial" w:hAnsi="Arial" w:cs="Arial"/>
                <w:color w:val="333333"/>
                <w:sz w:val="22"/>
                <w:szCs w:val="22"/>
              </w:rPr>
              <w:t xml:space="preserve">A composition comprising lipid and surfactant, characterised in that the surfactant has an HLB number of less than 20 and in that the lipid and surfactant are in the form of macromolecular assemblies of less than 100 nm in diameter. </w:t>
            </w:r>
          </w:p>
        </w:tc>
        <w:tc>
          <w:tcPr>
            <w:tcW w:w="912" w:type="dxa"/>
          </w:tcPr>
          <w:p w14:paraId="563CE76B" w14:textId="77777777" w:rsidR="00D86187" w:rsidRPr="006E5351" w:rsidRDefault="00D86187" w:rsidP="005833B9">
            <w:pPr>
              <w:rPr>
                <w:rFonts w:ascii="Arial" w:hAnsi="Arial" w:cs="Arial"/>
                <w:color w:val="333333"/>
                <w:sz w:val="22"/>
                <w:szCs w:val="22"/>
              </w:rPr>
            </w:pPr>
            <w:r>
              <w:rPr>
                <w:rFonts w:ascii="Arial" w:hAnsi="Arial" w:cs="Arial"/>
                <w:color w:val="333333"/>
                <w:sz w:val="22"/>
                <w:szCs w:val="22"/>
              </w:rPr>
              <w:t>1-5</w:t>
            </w:r>
          </w:p>
        </w:tc>
      </w:tr>
      <w:tr w:rsidR="00D86187" w14:paraId="0DC1B29C" w14:textId="77777777" w:rsidTr="005833B9">
        <w:tc>
          <w:tcPr>
            <w:tcW w:w="730" w:type="dxa"/>
          </w:tcPr>
          <w:p w14:paraId="474EA598" w14:textId="77777777" w:rsidR="00D86187" w:rsidRPr="006E5351" w:rsidRDefault="00D86187" w:rsidP="005833B9">
            <w:pPr>
              <w:rPr>
                <w:rFonts w:ascii="Arial" w:hAnsi="Arial" w:cs="Arial"/>
                <w:color w:val="000000"/>
                <w:sz w:val="22"/>
                <w:szCs w:val="22"/>
              </w:rPr>
            </w:pPr>
            <w:r w:rsidRPr="006E5351">
              <w:rPr>
                <w:rFonts w:ascii="Arial" w:hAnsi="Arial" w:cs="Arial"/>
                <w:color w:val="000000"/>
                <w:sz w:val="22"/>
                <w:szCs w:val="22"/>
              </w:rPr>
              <w:t>12</w:t>
            </w:r>
          </w:p>
        </w:tc>
        <w:tc>
          <w:tcPr>
            <w:tcW w:w="2639" w:type="dxa"/>
          </w:tcPr>
          <w:p w14:paraId="2F339641" w14:textId="77777777" w:rsidR="00D86187" w:rsidRPr="006E5351" w:rsidRDefault="00D86187" w:rsidP="005833B9">
            <w:pPr>
              <w:rPr>
                <w:rFonts w:ascii="Arial" w:hAnsi="Arial" w:cs="Arial"/>
                <w:color w:val="333333"/>
                <w:sz w:val="22"/>
                <w:szCs w:val="22"/>
              </w:rPr>
            </w:pPr>
            <w:r w:rsidRPr="006E5351">
              <w:rPr>
                <w:rFonts w:ascii="Arial" w:hAnsi="Arial" w:cs="Arial"/>
                <w:color w:val="333333"/>
                <w:sz w:val="22"/>
                <w:szCs w:val="22"/>
              </w:rPr>
              <w:t>STYRENE-MALEIC ANHYDRIDE COPOLYMERS FOR BIOAPPLICATIONS AND THEIR PREPARATION</w:t>
            </w:r>
          </w:p>
        </w:tc>
        <w:tc>
          <w:tcPr>
            <w:tcW w:w="1134" w:type="dxa"/>
          </w:tcPr>
          <w:p w14:paraId="691813E0" w14:textId="77777777" w:rsidR="00D86187" w:rsidRPr="006E5351" w:rsidRDefault="00D86187" w:rsidP="005833B9">
            <w:pPr>
              <w:rPr>
                <w:rFonts w:ascii="Arial" w:hAnsi="Arial" w:cs="Arial"/>
                <w:b/>
                <w:bCs/>
                <w:color w:val="333333"/>
                <w:sz w:val="22"/>
                <w:szCs w:val="22"/>
              </w:rPr>
            </w:pPr>
            <w:r w:rsidRPr="006E5351">
              <w:rPr>
                <w:rFonts w:ascii="Arial" w:hAnsi="Arial" w:cs="Arial"/>
                <w:b/>
                <w:bCs/>
                <w:color w:val="333333"/>
                <w:sz w:val="22"/>
                <w:szCs w:val="22"/>
              </w:rPr>
              <w:t>WO2007/115165</w:t>
            </w:r>
          </w:p>
        </w:tc>
        <w:tc>
          <w:tcPr>
            <w:tcW w:w="3827" w:type="dxa"/>
          </w:tcPr>
          <w:p w14:paraId="5BBF7787" w14:textId="77777777" w:rsidR="00D86187" w:rsidRPr="006E5351" w:rsidRDefault="00D86187" w:rsidP="005833B9">
            <w:pPr>
              <w:rPr>
                <w:rFonts w:ascii="Arial" w:hAnsi="Arial" w:cs="Arial"/>
                <w:color w:val="333333"/>
                <w:sz w:val="22"/>
                <w:szCs w:val="22"/>
              </w:rPr>
            </w:pPr>
            <w:r w:rsidRPr="006E5351">
              <w:rPr>
                <w:rFonts w:ascii="Arial" w:hAnsi="Arial" w:cs="Arial"/>
                <w:color w:val="333333"/>
                <w:sz w:val="22"/>
                <w:szCs w:val="22"/>
              </w:rPr>
              <w:t xml:space="preserve">The present invention discloses styrene-maleic anhydride copolymers preparations using solventless techniques. The solventless method resulted in reduced amounts of residues, such as unreacted styrene and/or maleic anhydride monomers, which makes the copolymers particularly suitable for </w:t>
            </w:r>
            <w:proofErr w:type="spellStart"/>
            <w:r w:rsidRPr="006E5351">
              <w:rPr>
                <w:rFonts w:ascii="Arial" w:hAnsi="Arial" w:cs="Arial"/>
                <w:color w:val="333333"/>
                <w:sz w:val="22"/>
                <w:szCs w:val="22"/>
              </w:rPr>
              <w:t>bioapplications</w:t>
            </w:r>
            <w:proofErr w:type="spellEnd"/>
            <w:r w:rsidRPr="006E5351">
              <w:rPr>
                <w:rFonts w:ascii="Arial" w:hAnsi="Arial" w:cs="Arial"/>
                <w:color w:val="333333"/>
                <w:sz w:val="22"/>
                <w:szCs w:val="22"/>
              </w:rPr>
              <w:t>.</w:t>
            </w:r>
          </w:p>
        </w:tc>
        <w:tc>
          <w:tcPr>
            <w:tcW w:w="912" w:type="dxa"/>
          </w:tcPr>
          <w:p w14:paraId="5B59593F" w14:textId="77777777" w:rsidR="00D86187" w:rsidRPr="006E5351" w:rsidRDefault="00D86187" w:rsidP="005833B9">
            <w:pPr>
              <w:rPr>
                <w:rFonts w:ascii="Arial" w:hAnsi="Arial" w:cs="Arial"/>
                <w:color w:val="333333"/>
                <w:sz w:val="22"/>
                <w:szCs w:val="22"/>
              </w:rPr>
            </w:pPr>
            <w:r>
              <w:rPr>
                <w:rFonts w:ascii="Arial" w:hAnsi="Arial" w:cs="Arial"/>
                <w:color w:val="333333"/>
                <w:sz w:val="22"/>
                <w:szCs w:val="22"/>
              </w:rPr>
              <w:t>1-6</w:t>
            </w:r>
          </w:p>
        </w:tc>
      </w:tr>
    </w:tbl>
    <w:p w14:paraId="5AEDD3A7" w14:textId="77777777" w:rsidR="00D86187" w:rsidRPr="000F186A" w:rsidRDefault="00D86187" w:rsidP="00D86187">
      <w:pPr>
        <w:jc w:val="both"/>
        <w:rPr>
          <w:rFonts w:ascii="Arial" w:hAnsi="Arial" w:cs="Arial"/>
          <w:b/>
          <w:i/>
          <w:sz w:val="22"/>
          <w:szCs w:val="22"/>
        </w:rPr>
      </w:pPr>
    </w:p>
    <w:p w14:paraId="70DD845B" w14:textId="77777777" w:rsidR="00D86187" w:rsidRDefault="00D86187" w:rsidP="00D86187">
      <w:pPr>
        <w:ind w:left="709"/>
        <w:jc w:val="both"/>
        <w:rPr>
          <w:rFonts w:ascii="Arial" w:hAnsi="Arial" w:cs="Arial"/>
          <w:sz w:val="22"/>
          <w:szCs w:val="22"/>
        </w:rPr>
      </w:pPr>
    </w:p>
    <w:p w14:paraId="7D2B9D54" w14:textId="77777777" w:rsidR="00D86187" w:rsidRPr="006E5351" w:rsidRDefault="00D86187" w:rsidP="00D86187">
      <w:pPr>
        <w:ind w:left="709"/>
        <w:jc w:val="both"/>
        <w:rPr>
          <w:rFonts w:ascii="Arial" w:hAnsi="Arial" w:cs="Arial"/>
          <w:sz w:val="22"/>
          <w:szCs w:val="22"/>
        </w:rPr>
      </w:pPr>
      <w:r w:rsidRPr="006E5351">
        <w:rPr>
          <w:rFonts w:ascii="Arial" w:hAnsi="Arial" w:cs="Arial"/>
          <w:sz w:val="22"/>
          <w:szCs w:val="22"/>
        </w:rPr>
        <w:t>For the purpose of this exercise please assume that the patent applications are granted in the UK in the form that ha</w:t>
      </w:r>
      <w:r w:rsidR="000D75E8">
        <w:rPr>
          <w:rFonts w:ascii="Arial" w:hAnsi="Arial" w:cs="Arial"/>
          <w:sz w:val="22"/>
          <w:szCs w:val="22"/>
        </w:rPr>
        <w:t>s</w:t>
      </w:r>
      <w:r w:rsidRPr="006E5351">
        <w:rPr>
          <w:rFonts w:ascii="Arial" w:hAnsi="Arial" w:cs="Arial"/>
          <w:sz w:val="22"/>
          <w:szCs w:val="22"/>
        </w:rPr>
        <w:t xml:space="preserve"> been supplied to you (the documents are in fact just applications or US patents).</w:t>
      </w:r>
    </w:p>
    <w:p w14:paraId="0D3F8C8A" w14:textId="77777777" w:rsidR="00D86187" w:rsidRPr="006E5351" w:rsidRDefault="00D86187" w:rsidP="00D86187">
      <w:pPr>
        <w:jc w:val="both"/>
        <w:rPr>
          <w:rFonts w:ascii="Arial" w:hAnsi="Arial" w:cs="Arial"/>
          <w:sz w:val="22"/>
          <w:szCs w:val="22"/>
        </w:rPr>
      </w:pPr>
    </w:p>
    <w:p w14:paraId="59FF48B2" w14:textId="77777777" w:rsidR="00D86187" w:rsidRPr="002A4118" w:rsidRDefault="00D86187" w:rsidP="00D86187">
      <w:pPr>
        <w:pStyle w:val="ListParagraph"/>
        <w:numPr>
          <w:ilvl w:val="0"/>
          <w:numId w:val="2"/>
        </w:numPr>
        <w:jc w:val="both"/>
        <w:rPr>
          <w:rFonts w:ascii="Arial" w:hAnsi="Arial" w:cs="Arial"/>
        </w:rPr>
      </w:pPr>
      <w:r>
        <w:rPr>
          <w:rFonts w:ascii="Arial" w:hAnsi="Arial" w:cs="Arial"/>
        </w:rPr>
        <w:t>Review extracts from Section 60 of the UK Patents Act in respect of infringing acts at annexe 1.</w:t>
      </w:r>
    </w:p>
    <w:p w14:paraId="3194C834" w14:textId="77777777" w:rsidR="00D86187" w:rsidRPr="006E5351" w:rsidRDefault="00D86187" w:rsidP="00D86187">
      <w:pPr>
        <w:jc w:val="both"/>
        <w:rPr>
          <w:rFonts w:ascii="Arial" w:hAnsi="Arial" w:cs="Arial"/>
          <w:sz w:val="22"/>
          <w:szCs w:val="22"/>
        </w:rPr>
      </w:pPr>
    </w:p>
    <w:p w14:paraId="33D1502D" w14:textId="77777777" w:rsidR="00D86187" w:rsidRPr="004D4BCB" w:rsidRDefault="00D86187" w:rsidP="00D86187">
      <w:pPr>
        <w:pStyle w:val="ListParagraph"/>
        <w:numPr>
          <w:ilvl w:val="0"/>
          <w:numId w:val="2"/>
        </w:numPr>
        <w:jc w:val="both"/>
        <w:rPr>
          <w:rFonts w:ascii="Arial" w:hAnsi="Arial" w:cs="Arial"/>
          <w:b/>
        </w:rPr>
      </w:pPr>
      <w:r w:rsidRPr="004D4BCB">
        <w:rPr>
          <w:rFonts w:ascii="Arial" w:hAnsi="Arial" w:cs="Arial"/>
          <w:b/>
        </w:rPr>
        <w:t>Assignment Output</w:t>
      </w:r>
    </w:p>
    <w:p w14:paraId="7FFDADA7" w14:textId="77777777" w:rsidR="00D86187" w:rsidRDefault="00D86187" w:rsidP="00D86187">
      <w:pPr>
        <w:pStyle w:val="ListParagraph"/>
        <w:jc w:val="both"/>
        <w:rPr>
          <w:rFonts w:ascii="Arial" w:hAnsi="Arial" w:cs="Arial"/>
        </w:rPr>
      </w:pPr>
    </w:p>
    <w:p w14:paraId="41FBE1AB" w14:textId="7A2C553F" w:rsidR="00D86187" w:rsidRPr="004D4BCB" w:rsidRDefault="00D86187" w:rsidP="00D86187">
      <w:pPr>
        <w:pStyle w:val="ListParagraph"/>
        <w:jc w:val="both"/>
        <w:rPr>
          <w:rFonts w:ascii="Arial" w:hAnsi="Arial" w:cs="Arial"/>
        </w:rPr>
      </w:pPr>
      <w:r w:rsidRPr="004D4BCB">
        <w:rPr>
          <w:rFonts w:ascii="Arial" w:hAnsi="Arial" w:cs="Arial"/>
        </w:rPr>
        <w:t xml:space="preserve">Prepare a report </w:t>
      </w:r>
      <w:r>
        <w:rPr>
          <w:rFonts w:ascii="Arial" w:hAnsi="Arial" w:cs="Arial"/>
        </w:rPr>
        <w:t xml:space="preserve">for the commercial strategy group of </w:t>
      </w:r>
      <w:r w:rsidR="000D75E8">
        <w:rPr>
          <w:rFonts w:ascii="Arial" w:hAnsi="Arial" w:cs="Arial"/>
        </w:rPr>
        <w:t>CRO Co.</w:t>
      </w:r>
      <w:r>
        <w:rPr>
          <w:rFonts w:ascii="Arial" w:hAnsi="Arial" w:cs="Arial"/>
        </w:rPr>
        <w:t xml:space="preserve"> </w:t>
      </w:r>
      <w:r w:rsidRPr="004D4BCB">
        <w:rPr>
          <w:rFonts w:ascii="Arial" w:hAnsi="Arial" w:cs="Arial"/>
        </w:rPr>
        <w:t>that critically evaluates the freedom to operate in areas that fulfil the proposed commercial goal</w:t>
      </w:r>
      <w:r>
        <w:rPr>
          <w:rFonts w:ascii="Arial" w:hAnsi="Arial" w:cs="Arial"/>
        </w:rPr>
        <w:t xml:space="preserve"> CRO Co</w:t>
      </w:r>
      <w:r w:rsidRPr="004D4BCB">
        <w:rPr>
          <w:rFonts w:ascii="Arial" w:hAnsi="Arial" w:cs="Arial"/>
        </w:rPr>
        <w:t xml:space="preserve">. Identify the relevance, or otherwise, of each of the patents provided and provide solutions </w:t>
      </w:r>
      <w:r>
        <w:rPr>
          <w:rFonts w:ascii="Arial" w:hAnsi="Arial" w:cs="Arial"/>
        </w:rPr>
        <w:t xml:space="preserve">(technical and/or commercial) </w:t>
      </w:r>
      <w:r w:rsidRPr="004D4BCB">
        <w:rPr>
          <w:rFonts w:ascii="Arial" w:hAnsi="Arial" w:cs="Arial"/>
        </w:rPr>
        <w:t>to the issues raised [</w:t>
      </w:r>
      <w:r w:rsidR="00657BAB">
        <w:rPr>
          <w:rFonts w:ascii="Arial" w:hAnsi="Arial" w:cs="Arial"/>
        </w:rPr>
        <w:t>1500</w:t>
      </w:r>
      <w:r w:rsidRPr="004D4BCB">
        <w:rPr>
          <w:rFonts w:ascii="Arial" w:hAnsi="Arial" w:cs="Arial"/>
        </w:rPr>
        <w:t xml:space="preserve"> word</w:t>
      </w:r>
      <w:r>
        <w:rPr>
          <w:rFonts w:ascii="Arial" w:hAnsi="Arial" w:cs="Arial"/>
        </w:rPr>
        <w:t>s</w:t>
      </w:r>
      <w:r w:rsidRPr="004D4BCB">
        <w:rPr>
          <w:rFonts w:ascii="Arial" w:hAnsi="Arial" w:cs="Arial"/>
        </w:rPr>
        <w:t>].</w:t>
      </w:r>
    </w:p>
    <w:p w14:paraId="770D3CA7" w14:textId="77777777" w:rsidR="00556802" w:rsidRDefault="00556802">
      <w:pPr>
        <w:spacing w:after="200" w:line="276" w:lineRule="auto"/>
      </w:pPr>
      <w:r>
        <w:br w:type="page"/>
      </w:r>
    </w:p>
    <w:p w14:paraId="51DCC336" w14:textId="77777777" w:rsidR="00556802" w:rsidRDefault="00556802" w:rsidP="00556802">
      <w:pPr>
        <w:jc w:val="center"/>
        <w:rPr>
          <w:rFonts w:ascii="Arial" w:hAnsi="Arial" w:cs="Arial"/>
          <w:b/>
          <w:i/>
        </w:rPr>
      </w:pPr>
      <w:r>
        <w:rPr>
          <w:rFonts w:ascii="Arial" w:hAnsi="Arial" w:cs="Arial"/>
          <w:b/>
          <w:i/>
        </w:rPr>
        <w:lastRenderedPageBreak/>
        <w:t>Schedule 1</w:t>
      </w:r>
    </w:p>
    <w:p w14:paraId="1D39C1DD" w14:textId="77777777" w:rsidR="00556802" w:rsidRDefault="00556802" w:rsidP="00556802">
      <w:pPr>
        <w:rPr>
          <w:rFonts w:ascii="Arial" w:hAnsi="Arial" w:cs="Arial"/>
          <w:b/>
          <w:i/>
        </w:rPr>
      </w:pPr>
    </w:p>
    <w:p w14:paraId="4BCF0D8E" w14:textId="77777777" w:rsidR="00556802" w:rsidRDefault="00556802" w:rsidP="00556802">
      <w:pPr>
        <w:rPr>
          <w:rFonts w:ascii="Arial" w:hAnsi="Arial" w:cs="Arial"/>
          <w:b/>
          <w:i/>
        </w:rPr>
      </w:pPr>
      <w:r>
        <w:rPr>
          <w:rFonts w:ascii="Arial" w:hAnsi="Arial" w:cs="Arial"/>
          <w:b/>
          <w:i/>
        </w:rPr>
        <w:t>Section 60 Patents Act 1977</w:t>
      </w:r>
    </w:p>
    <w:p w14:paraId="6147EB5B" w14:textId="77777777" w:rsidR="00556802" w:rsidRDefault="00556802" w:rsidP="00556802">
      <w:pPr>
        <w:rPr>
          <w:rFonts w:ascii="Arial" w:hAnsi="Arial" w:cs="Arial"/>
          <w:b/>
          <w:i/>
        </w:rPr>
      </w:pPr>
    </w:p>
    <w:p w14:paraId="1F1CFC0B" w14:textId="77777777" w:rsidR="00556802" w:rsidRPr="003C0399" w:rsidRDefault="00556802" w:rsidP="00556802">
      <w:pPr>
        <w:jc w:val="both"/>
        <w:rPr>
          <w:rFonts w:ascii="Arial" w:hAnsi="Arial" w:cs="Arial"/>
          <w:sz w:val="22"/>
          <w:szCs w:val="22"/>
        </w:rPr>
      </w:pPr>
      <w:r w:rsidRPr="003C0399">
        <w:rPr>
          <w:rFonts w:ascii="Arial" w:hAnsi="Arial" w:cs="Arial"/>
          <w:sz w:val="22"/>
          <w:szCs w:val="22"/>
        </w:rPr>
        <w:t>60.-(1) Subject to the provisions of this section, a person infringes a patent for an invention if, but only if, while the patent is in force, he does any of the following things in the United Kingdom in relation to the invention without the consent of the proprietor of the patent, that is to say –</w:t>
      </w:r>
    </w:p>
    <w:p w14:paraId="35FE00BF" w14:textId="77777777" w:rsidR="00556802" w:rsidRPr="003C0399" w:rsidRDefault="00556802" w:rsidP="00556802">
      <w:pPr>
        <w:jc w:val="both"/>
        <w:rPr>
          <w:rFonts w:ascii="Arial" w:hAnsi="Arial" w:cs="Arial"/>
          <w:sz w:val="22"/>
          <w:szCs w:val="22"/>
        </w:rPr>
      </w:pPr>
    </w:p>
    <w:p w14:paraId="6C6F758D" w14:textId="77777777" w:rsidR="00556802" w:rsidRPr="003C0399" w:rsidRDefault="00556802" w:rsidP="00556802">
      <w:pPr>
        <w:pStyle w:val="ListParagraph"/>
        <w:numPr>
          <w:ilvl w:val="0"/>
          <w:numId w:val="6"/>
        </w:numPr>
        <w:jc w:val="both"/>
        <w:rPr>
          <w:rFonts w:ascii="Arial" w:hAnsi="Arial" w:cs="Arial"/>
        </w:rPr>
      </w:pPr>
      <w:r w:rsidRPr="003C0399">
        <w:rPr>
          <w:rFonts w:ascii="Arial" w:hAnsi="Arial" w:cs="Arial"/>
        </w:rPr>
        <w:t>where the invention is a product, he makes, disposes of, offers to dispose of, uses or imports the product or keeps it whether for disposal or otherwise;</w:t>
      </w:r>
    </w:p>
    <w:p w14:paraId="0AFD9E15" w14:textId="77777777" w:rsidR="00556802" w:rsidRPr="003C0399" w:rsidRDefault="00556802" w:rsidP="00556802">
      <w:pPr>
        <w:pStyle w:val="ListParagraph"/>
        <w:numPr>
          <w:ilvl w:val="0"/>
          <w:numId w:val="6"/>
        </w:numPr>
        <w:jc w:val="both"/>
        <w:rPr>
          <w:rFonts w:ascii="Arial" w:hAnsi="Arial" w:cs="Arial"/>
        </w:rPr>
      </w:pPr>
      <w:r w:rsidRPr="003C0399">
        <w:rPr>
          <w:rFonts w:ascii="Arial" w:hAnsi="Arial" w:cs="Arial"/>
        </w:rPr>
        <w:t>.where the invention is a process, he uses the process or he offers it for use in the United Kingdom when he knows, or it is obvious to a reasonable person in the circumstances, that its use there without the consent of the proprietor would be an infringement of the patent;</w:t>
      </w:r>
    </w:p>
    <w:p w14:paraId="3EA648D9" w14:textId="77777777" w:rsidR="00556802" w:rsidRPr="003C0399" w:rsidRDefault="00556802" w:rsidP="00556802">
      <w:pPr>
        <w:pStyle w:val="ListParagraph"/>
        <w:numPr>
          <w:ilvl w:val="0"/>
          <w:numId w:val="6"/>
        </w:numPr>
        <w:jc w:val="both"/>
        <w:rPr>
          <w:rFonts w:ascii="Arial" w:hAnsi="Arial" w:cs="Arial"/>
        </w:rPr>
      </w:pPr>
      <w:r w:rsidRPr="003C0399">
        <w:rPr>
          <w:rFonts w:ascii="Arial" w:hAnsi="Arial" w:cs="Arial"/>
        </w:rPr>
        <w:t>where the invention is a process, he disposes of, offers to dispose of, uses or imports any product obtained directly by means of that process or keeps any such product whether for disposal or otherwise.</w:t>
      </w:r>
    </w:p>
    <w:p w14:paraId="0C456FAC" w14:textId="77777777" w:rsidR="00556802" w:rsidRPr="003C0399" w:rsidRDefault="00556802" w:rsidP="00556802">
      <w:pPr>
        <w:ind w:left="360"/>
        <w:jc w:val="both"/>
        <w:rPr>
          <w:rFonts w:ascii="Arial" w:hAnsi="Arial" w:cs="Arial"/>
          <w:sz w:val="22"/>
          <w:szCs w:val="22"/>
        </w:rPr>
      </w:pPr>
      <w:r w:rsidRPr="003C0399">
        <w:rPr>
          <w:rFonts w:ascii="Arial" w:hAnsi="Arial" w:cs="Arial"/>
          <w:sz w:val="22"/>
          <w:szCs w:val="22"/>
        </w:rPr>
        <w:t>(2) Subject to the following provisions of this section, a person (other than the proprietor of the patent) also infringes a patent for an invention if, while the patent is in force and without the consent of the proprietor, he supplies or offers to supply in the United Kingdom a person other than a licensee or other person entitled to work the invention with any of the means, relating to an essential element of the invention, for putting the invention into effect when he knows, or it is obvious to a reasonable person in the circumstances, that those means are suitable for putting, and are intended to put, the invention into effect in the United Kingdom.</w:t>
      </w:r>
    </w:p>
    <w:p w14:paraId="5ED9CDDC" w14:textId="77777777" w:rsidR="00556802" w:rsidRPr="003C0399" w:rsidRDefault="00556802" w:rsidP="00556802">
      <w:pPr>
        <w:ind w:left="360"/>
        <w:jc w:val="both"/>
        <w:rPr>
          <w:rFonts w:ascii="Arial" w:hAnsi="Arial" w:cs="Arial"/>
          <w:sz w:val="22"/>
          <w:szCs w:val="22"/>
        </w:rPr>
      </w:pPr>
    </w:p>
    <w:p w14:paraId="64BB497C" w14:textId="77777777" w:rsidR="00556802" w:rsidRPr="003C0399" w:rsidRDefault="00556802" w:rsidP="00556802">
      <w:pPr>
        <w:ind w:left="360"/>
        <w:jc w:val="both"/>
        <w:rPr>
          <w:rFonts w:ascii="Arial" w:hAnsi="Arial" w:cs="Arial"/>
          <w:sz w:val="22"/>
          <w:szCs w:val="22"/>
        </w:rPr>
      </w:pPr>
      <w:r w:rsidRPr="003C0399">
        <w:rPr>
          <w:rFonts w:ascii="Arial" w:hAnsi="Arial" w:cs="Arial"/>
          <w:sz w:val="22"/>
          <w:szCs w:val="22"/>
        </w:rPr>
        <w:t>(3) Subsection (2) above shall not apply to the supply or offer of a staple commercial product unless the supply or the offer is made for the purpose of inducing the person supplied or, as the case may be, the person to whom the offer is made</w:t>
      </w:r>
      <w:r w:rsidRPr="003C0399">
        <w:rPr>
          <w:sz w:val="22"/>
          <w:szCs w:val="22"/>
        </w:rPr>
        <w:t xml:space="preserve"> </w:t>
      </w:r>
      <w:r w:rsidRPr="003C0399">
        <w:rPr>
          <w:rFonts w:ascii="Arial" w:hAnsi="Arial" w:cs="Arial"/>
          <w:sz w:val="22"/>
          <w:szCs w:val="22"/>
        </w:rPr>
        <w:t xml:space="preserve">to do an act which constitutes an infringement of the patent by virtue of subsection (1) above. </w:t>
      </w:r>
    </w:p>
    <w:p w14:paraId="7FFF0EB5" w14:textId="77777777" w:rsidR="00556802" w:rsidRPr="003C0399" w:rsidRDefault="00556802" w:rsidP="00556802">
      <w:pPr>
        <w:ind w:left="360"/>
        <w:jc w:val="both"/>
        <w:rPr>
          <w:rFonts w:ascii="Arial" w:hAnsi="Arial" w:cs="Arial"/>
          <w:sz w:val="22"/>
          <w:szCs w:val="22"/>
        </w:rPr>
      </w:pPr>
    </w:p>
    <w:p w14:paraId="76E42ED6" w14:textId="77777777" w:rsidR="00556802" w:rsidRPr="003C0399" w:rsidRDefault="00556802" w:rsidP="00556802">
      <w:pPr>
        <w:ind w:left="360"/>
        <w:jc w:val="both"/>
        <w:rPr>
          <w:rFonts w:ascii="Arial" w:hAnsi="Arial" w:cs="Arial"/>
          <w:sz w:val="22"/>
          <w:szCs w:val="22"/>
        </w:rPr>
      </w:pPr>
      <w:r w:rsidRPr="003C0399">
        <w:rPr>
          <w:rFonts w:ascii="Arial" w:hAnsi="Arial" w:cs="Arial"/>
          <w:sz w:val="22"/>
          <w:szCs w:val="22"/>
        </w:rPr>
        <w:t>(5) An act which, apart from this subsection, would constitute an infringement of a patent for an invention shall not do so if –</w:t>
      </w:r>
    </w:p>
    <w:p w14:paraId="2AE5B5F7" w14:textId="77777777" w:rsidR="00556802" w:rsidRPr="003C0399" w:rsidRDefault="00556802" w:rsidP="00556802">
      <w:pPr>
        <w:ind w:left="360"/>
        <w:jc w:val="both"/>
        <w:rPr>
          <w:rFonts w:ascii="Arial" w:hAnsi="Arial" w:cs="Arial"/>
          <w:sz w:val="22"/>
          <w:szCs w:val="22"/>
        </w:rPr>
      </w:pPr>
      <w:r w:rsidRPr="003C0399">
        <w:rPr>
          <w:rFonts w:ascii="Arial" w:hAnsi="Arial" w:cs="Arial"/>
          <w:sz w:val="22"/>
          <w:szCs w:val="22"/>
        </w:rPr>
        <w:t xml:space="preserve">(a) it is done privately and for purposes which are not </w:t>
      </w:r>
      <w:proofErr w:type="gramStart"/>
      <w:r w:rsidRPr="003C0399">
        <w:rPr>
          <w:rFonts w:ascii="Arial" w:hAnsi="Arial" w:cs="Arial"/>
          <w:sz w:val="22"/>
          <w:szCs w:val="22"/>
        </w:rPr>
        <w:t>commercial;</w:t>
      </w:r>
      <w:proofErr w:type="gramEnd"/>
    </w:p>
    <w:p w14:paraId="49827FB3" w14:textId="77777777" w:rsidR="00556802" w:rsidRPr="003C0399" w:rsidRDefault="00556802" w:rsidP="00556802">
      <w:pPr>
        <w:ind w:left="360"/>
        <w:jc w:val="both"/>
        <w:rPr>
          <w:rFonts w:ascii="Arial" w:hAnsi="Arial" w:cs="Arial"/>
          <w:sz w:val="22"/>
          <w:szCs w:val="22"/>
        </w:rPr>
      </w:pPr>
      <w:r w:rsidRPr="003C0399">
        <w:rPr>
          <w:rFonts w:ascii="Arial" w:hAnsi="Arial" w:cs="Arial"/>
          <w:sz w:val="22"/>
          <w:szCs w:val="22"/>
        </w:rPr>
        <w:t xml:space="preserve">(b) it is done for experimental purposes relating to the subject-matter of the </w:t>
      </w:r>
      <w:proofErr w:type="gramStart"/>
      <w:r w:rsidRPr="003C0399">
        <w:rPr>
          <w:rFonts w:ascii="Arial" w:hAnsi="Arial" w:cs="Arial"/>
          <w:sz w:val="22"/>
          <w:szCs w:val="22"/>
        </w:rPr>
        <w:t>invention;</w:t>
      </w:r>
      <w:proofErr w:type="gramEnd"/>
    </w:p>
    <w:p w14:paraId="2E69CDFF" w14:textId="77777777" w:rsidR="00556802" w:rsidRPr="003C0399" w:rsidRDefault="00556802" w:rsidP="00556802">
      <w:pPr>
        <w:ind w:left="360"/>
        <w:jc w:val="both"/>
        <w:rPr>
          <w:rFonts w:ascii="Arial" w:hAnsi="Arial" w:cs="Arial"/>
          <w:sz w:val="22"/>
          <w:szCs w:val="22"/>
        </w:rPr>
      </w:pPr>
    </w:p>
    <w:p w14:paraId="2C106C8E" w14:textId="77777777" w:rsidR="00556802" w:rsidRDefault="00556802" w:rsidP="00556802">
      <w:pPr>
        <w:ind w:left="360"/>
        <w:jc w:val="both"/>
        <w:rPr>
          <w:rFonts w:ascii="Arial" w:hAnsi="Arial" w:cs="Arial"/>
          <w:sz w:val="22"/>
          <w:szCs w:val="22"/>
        </w:rPr>
      </w:pPr>
      <w:r w:rsidRPr="003C0399">
        <w:rPr>
          <w:rFonts w:ascii="Arial" w:hAnsi="Arial" w:cs="Arial"/>
          <w:sz w:val="22"/>
          <w:szCs w:val="22"/>
        </w:rPr>
        <w:t>(6D) For the purposes of subsection (5)(b), anything done in or for the purposes of a medicinal product assessment which would otherwise constitute an infringement of a patent for an invention is to be regarded as done for experimental purposes relating to the subject matter of the invention.</w:t>
      </w:r>
    </w:p>
    <w:p w14:paraId="0D2150EA" w14:textId="77777777" w:rsidR="00556802" w:rsidRDefault="00556802" w:rsidP="00556802">
      <w:pPr>
        <w:ind w:left="360"/>
        <w:jc w:val="both"/>
        <w:rPr>
          <w:rFonts w:ascii="Arial" w:hAnsi="Arial" w:cs="Arial"/>
          <w:sz w:val="22"/>
          <w:szCs w:val="22"/>
        </w:rPr>
      </w:pPr>
    </w:p>
    <w:p w14:paraId="5229E5DE" w14:textId="77777777" w:rsidR="00556802" w:rsidRDefault="00556802" w:rsidP="00556802">
      <w:pPr>
        <w:ind w:left="360"/>
        <w:jc w:val="both"/>
        <w:rPr>
          <w:rFonts w:ascii="Arial" w:hAnsi="Arial" w:cs="Arial"/>
          <w:sz w:val="22"/>
          <w:szCs w:val="22"/>
        </w:rPr>
      </w:pPr>
      <w:r w:rsidRPr="003C0399">
        <w:rPr>
          <w:rFonts w:ascii="Arial" w:hAnsi="Arial" w:cs="Arial"/>
          <w:sz w:val="22"/>
          <w:szCs w:val="22"/>
        </w:rPr>
        <w:t>(6E) In subsection (6D), “medicinal product</w:t>
      </w:r>
      <w:r>
        <w:rPr>
          <w:rFonts w:ascii="Arial" w:hAnsi="Arial" w:cs="Arial"/>
          <w:sz w:val="22"/>
          <w:szCs w:val="22"/>
        </w:rPr>
        <w:t xml:space="preserve"> </w:t>
      </w:r>
      <w:r w:rsidRPr="003C0399">
        <w:rPr>
          <w:rFonts w:ascii="Arial" w:hAnsi="Arial" w:cs="Arial"/>
          <w:sz w:val="22"/>
          <w:szCs w:val="22"/>
        </w:rPr>
        <w:t>assessment” means any testing, course of testing or</w:t>
      </w:r>
      <w:r>
        <w:rPr>
          <w:rFonts w:ascii="Arial" w:hAnsi="Arial" w:cs="Arial"/>
          <w:sz w:val="22"/>
          <w:szCs w:val="22"/>
        </w:rPr>
        <w:t xml:space="preserve"> </w:t>
      </w:r>
      <w:r w:rsidRPr="003C0399">
        <w:rPr>
          <w:rFonts w:ascii="Arial" w:hAnsi="Arial" w:cs="Arial"/>
          <w:sz w:val="22"/>
          <w:szCs w:val="22"/>
        </w:rPr>
        <w:t>other activity undertaken with a view to providing</w:t>
      </w:r>
      <w:r>
        <w:rPr>
          <w:rFonts w:ascii="Arial" w:hAnsi="Arial" w:cs="Arial"/>
          <w:sz w:val="22"/>
          <w:szCs w:val="22"/>
        </w:rPr>
        <w:t xml:space="preserve"> </w:t>
      </w:r>
      <w:r w:rsidRPr="003C0399">
        <w:rPr>
          <w:rFonts w:ascii="Arial" w:hAnsi="Arial" w:cs="Arial"/>
          <w:sz w:val="22"/>
          <w:szCs w:val="22"/>
        </w:rPr>
        <w:t>data for any of the following purposes—</w:t>
      </w:r>
    </w:p>
    <w:p w14:paraId="2C644CB7" w14:textId="77777777" w:rsidR="00556802" w:rsidRDefault="00556802" w:rsidP="00556802">
      <w:pPr>
        <w:ind w:left="360"/>
        <w:jc w:val="both"/>
        <w:rPr>
          <w:rFonts w:ascii="Arial" w:hAnsi="Arial" w:cs="Arial"/>
          <w:sz w:val="22"/>
          <w:szCs w:val="22"/>
        </w:rPr>
      </w:pPr>
    </w:p>
    <w:p w14:paraId="1EDFE4DF" w14:textId="77777777" w:rsidR="00556802" w:rsidRDefault="00556802" w:rsidP="00556802">
      <w:pPr>
        <w:ind w:left="360"/>
        <w:jc w:val="both"/>
        <w:rPr>
          <w:rFonts w:ascii="Arial" w:hAnsi="Arial" w:cs="Arial"/>
          <w:sz w:val="22"/>
          <w:szCs w:val="22"/>
        </w:rPr>
      </w:pPr>
      <w:r w:rsidRPr="003C0399">
        <w:rPr>
          <w:rFonts w:ascii="Arial" w:hAnsi="Arial" w:cs="Arial"/>
          <w:sz w:val="22"/>
          <w:szCs w:val="22"/>
        </w:rPr>
        <w:t>(a) obtaining or varying an authorisation</w:t>
      </w:r>
      <w:r>
        <w:rPr>
          <w:rFonts w:ascii="Arial" w:hAnsi="Arial" w:cs="Arial"/>
          <w:sz w:val="22"/>
          <w:szCs w:val="22"/>
        </w:rPr>
        <w:t xml:space="preserve"> </w:t>
      </w:r>
      <w:r w:rsidRPr="003C0399">
        <w:rPr>
          <w:rFonts w:ascii="Arial" w:hAnsi="Arial" w:cs="Arial"/>
          <w:sz w:val="22"/>
          <w:szCs w:val="22"/>
        </w:rPr>
        <w:t>to sell or supply, or offer to sell or supply,</w:t>
      </w:r>
      <w:r>
        <w:rPr>
          <w:rFonts w:ascii="Arial" w:hAnsi="Arial" w:cs="Arial"/>
          <w:sz w:val="22"/>
          <w:szCs w:val="22"/>
        </w:rPr>
        <w:t xml:space="preserve"> </w:t>
      </w:r>
      <w:r w:rsidRPr="003C0399">
        <w:rPr>
          <w:rFonts w:ascii="Arial" w:hAnsi="Arial" w:cs="Arial"/>
          <w:sz w:val="22"/>
          <w:szCs w:val="22"/>
        </w:rPr>
        <w:t>a medicinal product (whether in the</w:t>
      </w:r>
      <w:r>
        <w:rPr>
          <w:rFonts w:ascii="Arial" w:hAnsi="Arial" w:cs="Arial"/>
          <w:sz w:val="22"/>
          <w:szCs w:val="22"/>
        </w:rPr>
        <w:t xml:space="preserve"> </w:t>
      </w:r>
      <w:r w:rsidRPr="003C0399">
        <w:rPr>
          <w:rFonts w:ascii="Arial" w:hAnsi="Arial" w:cs="Arial"/>
          <w:sz w:val="22"/>
          <w:szCs w:val="22"/>
        </w:rPr>
        <w:t>United Kingdom or elsewhere</w:t>
      </w:r>
      <w:proofErr w:type="gramStart"/>
      <w:r w:rsidRPr="003C0399">
        <w:rPr>
          <w:rFonts w:ascii="Arial" w:hAnsi="Arial" w:cs="Arial"/>
          <w:sz w:val="22"/>
          <w:szCs w:val="22"/>
        </w:rPr>
        <w:t>);</w:t>
      </w:r>
      <w:proofErr w:type="gramEnd"/>
    </w:p>
    <w:p w14:paraId="0E5BF111" w14:textId="77777777" w:rsidR="00556802" w:rsidRDefault="00556802" w:rsidP="00556802">
      <w:pPr>
        <w:ind w:left="360"/>
        <w:jc w:val="both"/>
        <w:rPr>
          <w:rFonts w:ascii="Arial" w:hAnsi="Arial" w:cs="Arial"/>
          <w:sz w:val="22"/>
          <w:szCs w:val="22"/>
        </w:rPr>
      </w:pPr>
      <w:r w:rsidRPr="003C0399">
        <w:rPr>
          <w:rFonts w:ascii="Arial" w:hAnsi="Arial" w:cs="Arial"/>
          <w:sz w:val="22"/>
          <w:szCs w:val="22"/>
        </w:rPr>
        <w:t>(b) complying with any regulatory</w:t>
      </w:r>
      <w:r>
        <w:rPr>
          <w:rFonts w:ascii="Arial" w:hAnsi="Arial" w:cs="Arial"/>
          <w:sz w:val="22"/>
          <w:szCs w:val="22"/>
        </w:rPr>
        <w:t xml:space="preserve"> </w:t>
      </w:r>
      <w:r w:rsidRPr="003C0399">
        <w:rPr>
          <w:rFonts w:ascii="Arial" w:hAnsi="Arial" w:cs="Arial"/>
          <w:sz w:val="22"/>
          <w:szCs w:val="22"/>
        </w:rPr>
        <w:t>requirement imposed (whether in the</w:t>
      </w:r>
      <w:r>
        <w:rPr>
          <w:rFonts w:ascii="Arial" w:hAnsi="Arial" w:cs="Arial"/>
          <w:sz w:val="22"/>
          <w:szCs w:val="22"/>
        </w:rPr>
        <w:t xml:space="preserve"> </w:t>
      </w:r>
      <w:r w:rsidRPr="003C0399">
        <w:rPr>
          <w:rFonts w:ascii="Arial" w:hAnsi="Arial" w:cs="Arial"/>
          <w:sz w:val="22"/>
          <w:szCs w:val="22"/>
        </w:rPr>
        <w:t>United Kingdom or elsewhere) in relation</w:t>
      </w:r>
      <w:r>
        <w:rPr>
          <w:rFonts w:ascii="Arial" w:hAnsi="Arial" w:cs="Arial"/>
          <w:sz w:val="22"/>
          <w:szCs w:val="22"/>
        </w:rPr>
        <w:t xml:space="preserve"> </w:t>
      </w:r>
      <w:r w:rsidRPr="003C0399">
        <w:rPr>
          <w:rFonts w:ascii="Arial" w:hAnsi="Arial" w:cs="Arial"/>
          <w:sz w:val="22"/>
          <w:szCs w:val="22"/>
        </w:rPr>
        <w:t xml:space="preserve">to such an </w:t>
      </w:r>
      <w:proofErr w:type="gramStart"/>
      <w:r w:rsidRPr="003C0399">
        <w:rPr>
          <w:rFonts w:ascii="Arial" w:hAnsi="Arial" w:cs="Arial"/>
          <w:sz w:val="22"/>
          <w:szCs w:val="22"/>
        </w:rPr>
        <w:t>authorisation;</w:t>
      </w:r>
      <w:proofErr w:type="gramEnd"/>
    </w:p>
    <w:p w14:paraId="783BD989" w14:textId="77777777" w:rsidR="00556802" w:rsidRDefault="00556802" w:rsidP="00556802">
      <w:pPr>
        <w:ind w:left="360"/>
        <w:jc w:val="both"/>
        <w:rPr>
          <w:rFonts w:ascii="Arial" w:hAnsi="Arial" w:cs="Arial"/>
          <w:sz w:val="22"/>
          <w:szCs w:val="22"/>
        </w:rPr>
      </w:pPr>
      <w:r w:rsidRPr="003C0399">
        <w:rPr>
          <w:rFonts w:ascii="Arial" w:hAnsi="Arial" w:cs="Arial"/>
          <w:sz w:val="22"/>
          <w:szCs w:val="22"/>
        </w:rPr>
        <w:t>(c) enabling a government or public</w:t>
      </w:r>
      <w:r>
        <w:rPr>
          <w:rFonts w:ascii="Arial" w:hAnsi="Arial" w:cs="Arial"/>
          <w:sz w:val="22"/>
          <w:szCs w:val="22"/>
        </w:rPr>
        <w:t xml:space="preserve"> </w:t>
      </w:r>
      <w:r w:rsidRPr="003C0399">
        <w:rPr>
          <w:rFonts w:ascii="Arial" w:hAnsi="Arial" w:cs="Arial"/>
          <w:sz w:val="22"/>
          <w:szCs w:val="22"/>
        </w:rPr>
        <w:t>authority (whether in the United Kingdom</w:t>
      </w:r>
      <w:r>
        <w:rPr>
          <w:rFonts w:ascii="Arial" w:hAnsi="Arial" w:cs="Arial"/>
          <w:sz w:val="22"/>
          <w:szCs w:val="22"/>
        </w:rPr>
        <w:t xml:space="preserve"> </w:t>
      </w:r>
      <w:r w:rsidRPr="003C0399">
        <w:rPr>
          <w:rFonts w:ascii="Arial" w:hAnsi="Arial" w:cs="Arial"/>
          <w:sz w:val="22"/>
          <w:szCs w:val="22"/>
        </w:rPr>
        <w:t>or elsewhere), or a person (whether in the</w:t>
      </w:r>
      <w:r>
        <w:rPr>
          <w:rFonts w:ascii="Arial" w:hAnsi="Arial" w:cs="Arial"/>
          <w:sz w:val="22"/>
          <w:szCs w:val="22"/>
        </w:rPr>
        <w:t xml:space="preserve"> </w:t>
      </w:r>
      <w:r w:rsidRPr="003C0399">
        <w:rPr>
          <w:rFonts w:ascii="Arial" w:hAnsi="Arial" w:cs="Arial"/>
          <w:sz w:val="22"/>
          <w:szCs w:val="22"/>
        </w:rPr>
        <w:t>United Kingdom or elsewhere) with</w:t>
      </w:r>
      <w:r>
        <w:rPr>
          <w:rFonts w:ascii="Arial" w:hAnsi="Arial" w:cs="Arial"/>
          <w:sz w:val="22"/>
          <w:szCs w:val="22"/>
        </w:rPr>
        <w:t xml:space="preserve"> </w:t>
      </w:r>
      <w:r w:rsidRPr="003C0399">
        <w:rPr>
          <w:rFonts w:ascii="Arial" w:hAnsi="Arial" w:cs="Arial"/>
          <w:sz w:val="22"/>
          <w:szCs w:val="22"/>
        </w:rPr>
        <w:t>functions of—</w:t>
      </w:r>
    </w:p>
    <w:p w14:paraId="2B155E19" w14:textId="77777777" w:rsidR="00556802" w:rsidRDefault="00556802" w:rsidP="00556802">
      <w:pPr>
        <w:ind w:left="360"/>
        <w:jc w:val="both"/>
        <w:rPr>
          <w:rFonts w:ascii="Arial" w:hAnsi="Arial" w:cs="Arial"/>
          <w:sz w:val="22"/>
          <w:szCs w:val="22"/>
        </w:rPr>
      </w:pPr>
      <w:r w:rsidRPr="003C0399">
        <w:rPr>
          <w:rFonts w:ascii="Arial" w:hAnsi="Arial" w:cs="Arial"/>
          <w:sz w:val="22"/>
          <w:szCs w:val="22"/>
        </w:rPr>
        <w:t>(</w:t>
      </w:r>
      <w:proofErr w:type="spellStart"/>
      <w:r w:rsidRPr="003C0399">
        <w:rPr>
          <w:rFonts w:ascii="Arial" w:hAnsi="Arial" w:cs="Arial"/>
          <w:sz w:val="22"/>
          <w:szCs w:val="22"/>
        </w:rPr>
        <w:t>i</w:t>
      </w:r>
      <w:proofErr w:type="spellEnd"/>
      <w:r w:rsidRPr="003C0399">
        <w:rPr>
          <w:rFonts w:ascii="Arial" w:hAnsi="Arial" w:cs="Arial"/>
          <w:sz w:val="22"/>
          <w:szCs w:val="22"/>
        </w:rPr>
        <w:t>) providing health care on</w:t>
      </w:r>
      <w:r>
        <w:rPr>
          <w:rFonts w:ascii="Arial" w:hAnsi="Arial" w:cs="Arial"/>
          <w:sz w:val="22"/>
          <w:szCs w:val="22"/>
        </w:rPr>
        <w:t xml:space="preserve"> </w:t>
      </w:r>
      <w:r w:rsidRPr="003C0399">
        <w:rPr>
          <w:rFonts w:ascii="Arial" w:hAnsi="Arial" w:cs="Arial"/>
          <w:sz w:val="22"/>
          <w:szCs w:val="22"/>
        </w:rPr>
        <w:t>behalf of such a government or</w:t>
      </w:r>
      <w:r>
        <w:rPr>
          <w:rFonts w:ascii="Arial" w:hAnsi="Arial" w:cs="Arial"/>
          <w:sz w:val="22"/>
          <w:szCs w:val="22"/>
        </w:rPr>
        <w:t xml:space="preserve"> </w:t>
      </w:r>
      <w:r w:rsidRPr="003C0399">
        <w:rPr>
          <w:rFonts w:ascii="Arial" w:hAnsi="Arial" w:cs="Arial"/>
          <w:sz w:val="22"/>
          <w:szCs w:val="22"/>
        </w:rPr>
        <w:t>public authority, or</w:t>
      </w:r>
    </w:p>
    <w:p w14:paraId="6DC7AC56" w14:textId="77777777" w:rsidR="00556802" w:rsidRPr="003C0399" w:rsidRDefault="00556802" w:rsidP="00556802">
      <w:pPr>
        <w:ind w:left="360"/>
        <w:jc w:val="both"/>
        <w:rPr>
          <w:rFonts w:ascii="Arial" w:hAnsi="Arial" w:cs="Arial"/>
          <w:sz w:val="22"/>
          <w:szCs w:val="22"/>
        </w:rPr>
      </w:pPr>
      <w:r w:rsidRPr="003C0399">
        <w:rPr>
          <w:rFonts w:ascii="Arial" w:hAnsi="Arial" w:cs="Arial"/>
          <w:sz w:val="22"/>
          <w:szCs w:val="22"/>
        </w:rPr>
        <w:lastRenderedPageBreak/>
        <w:t>(ii) providing advice to, or on</w:t>
      </w:r>
      <w:r>
        <w:rPr>
          <w:rFonts w:ascii="Arial" w:hAnsi="Arial" w:cs="Arial"/>
          <w:sz w:val="22"/>
          <w:szCs w:val="22"/>
        </w:rPr>
        <w:t xml:space="preserve"> </w:t>
      </w:r>
      <w:r w:rsidRPr="003C0399">
        <w:rPr>
          <w:rFonts w:ascii="Arial" w:hAnsi="Arial" w:cs="Arial"/>
          <w:sz w:val="22"/>
          <w:szCs w:val="22"/>
        </w:rPr>
        <w:t>behalf of, such a government or</w:t>
      </w:r>
      <w:r>
        <w:rPr>
          <w:rFonts w:ascii="Arial" w:hAnsi="Arial" w:cs="Arial"/>
          <w:sz w:val="22"/>
          <w:szCs w:val="22"/>
        </w:rPr>
        <w:t xml:space="preserve"> </w:t>
      </w:r>
      <w:r w:rsidRPr="003C0399">
        <w:rPr>
          <w:rFonts w:ascii="Arial" w:hAnsi="Arial" w:cs="Arial"/>
          <w:sz w:val="22"/>
          <w:szCs w:val="22"/>
        </w:rPr>
        <w:t>public authority about the</w:t>
      </w:r>
    </w:p>
    <w:p w14:paraId="202B557B" w14:textId="77777777" w:rsidR="00556802" w:rsidRDefault="00556802" w:rsidP="00556802">
      <w:pPr>
        <w:ind w:left="360"/>
        <w:jc w:val="both"/>
        <w:rPr>
          <w:rFonts w:ascii="Arial" w:hAnsi="Arial" w:cs="Arial"/>
          <w:sz w:val="22"/>
          <w:szCs w:val="22"/>
        </w:rPr>
      </w:pPr>
      <w:r w:rsidRPr="003C0399">
        <w:rPr>
          <w:rFonts w:ascii="Arial" w:hAnsi="Arial" w:cs="Arial"/>
          <w:sz w:val="22"/>
          <w:szCs w:val="22"/>
        </w:rPr>
        <w:t>provision of health care,</w:t>
      </w:r>
      <w:r>
        <w:rPr>
          <w:rFonts w:ascii="Arial" w:hAnsi="Arial" w:cs="Arial"/>
          <w:sz w:val="22"/>
          <w:szCs w:val="22"/>
        </w:rPr>
        <w:t xml:space="preserve"> </w:t>
      </w:r>
      <w:r w:rsidRPr="003C0399">
        <w:rPr>
          <w:rFonts w:ascii="Arial" w:hAnsi="Arial" w:cs="Arial"/>
          <w:sz w:val="22"/>
          <w:szCs w:val="22"/>
        </w:rPr>
        <w:t>to carry out an assessment of suitability of</w:t>
      </w:r>
      <w:r>
        <w:rPr>
          <w:rFonts w:ascii="Arial" w:hAnsi="Arial" w:cs="Arial"/>
          <w:sz w:val="22"/>
          <w:szCs w:val="22"/>
        </w:rPr>
        <w:t xml:space="preserve"> </w:t>
      </w:r>
      <w:r w:rsidRPr="003C0399">
        <w:rPr>
          <w:rFonts w:ascii="Arial" w:hAnsi="Arial" w:cs="Arial"/>
          <w:sz w:val="22"/>
          <w:szCs w:val="22"/>
        </w:rPr>
        <w:t>a medicinal product for human use for the</w:t>
      </w:r>
      <w:r>
        <w:rPr>
          <w:rFonts w:ascii="Arial" w:hAnsi="Arial" w:cs="Arial"/>
          <w:sz w:val="22"/>
          <w:szCs w:val="22"/>
        </w:rPr>
        <w:t xml:space="preserve"> </w:t>
      </w:r>
      <w:r w:rsidRPr="003C0399">
        <w:rPr>
          <w:rFonts w:ascii="Arial" w:hAnsi="Arial" w:cs="Arial"/>
          <w:sz w:val="22"/>
          <w:szCs w:val="22"/>
        </w:rPr>
        <w:t>purpose of determining whether to use it,</w:t>
      </w:r>
      <w:r>
        <w:rPr>
          <w:rFonts w:ascii="Arial" w:hAnsi="Arial" w:cs="Arial"/>
          <w:sz w:val="22"/>
          <w:szCs w:val="22"/>
        </w:rPr>
        <w:t xml:space="preserve"> </w:t>
      </w:r>
      <w:r w:rsidRPr="003C0399">
        <w:rPr>
          <w:rFonts w:ascii="Arial" w:hAnsi="Arial" w:cs="Arial"/>
          <w:sz w:val="22"/>
          <w:szCs w:val="22"/>
        </w:rPr>
        <w:t>or recommend its use, in the provision of</w:t>
      </w:r>
      <w:r>
        <w:rPr>
          <w:rFonts w:ascii="Arial" w:hAnsi="Arial" w:cs="Arial"/>
          <w:sz w:val="22"/>
          <w:szCs w:val="22"/>
        </w:rPr>
        <w:t xml:space="preserve"> </w:t>
      </w:r>
      <w:r w:rsidRPr="003C0399">
        <w:rPr>
          <w:rFonts w:ascii="Arial" w:hAnsi="Arial" w:cs="Arial"/>
          <w:sz w:val="22"/>
          <w:szCs w:val="22"/>
        </w:rPr>
        <w:t>health care.</w:t>
      </w:r>
    </w:p>
    <w:p w14:paraId="397B1B70" w14:textId="77777777" w:rsidR="00556802" w:rsidRPr="003C0399" w:rsidRDefault="00556802" w:rsidP="00556802">
      <w:pPr>
        <w:ind w:left="360"/>
        <w:jc w:val="both"/>
        <w:rPr>
          <w:rFonts w:ascii="Arial" w:hAnsi="Arial" w:cs="Arial"/>
          <w:sz w:val="22"/>
          <w:szCs w:val="22"/>
        </w:rPr>
      </w:pPr>
    </w:p>
    <w:p w14:paraId="42D863AA" w14:textId="77777777" w:rsidR="00556802" w:rsidRDefault="00556802" w:rsidP="00556802">
      <w:pPr>
        <w:ind w:left="360"/>
        <w:jc w:val="both"/>
        <w:rPr>
          <w:rFonts w:ascii="Arial" w:hAnsi="Arial" w:cs="Arial"/>
          <w:sz w:val="22"/>
          <w:szCs w:val="22"/>
        </w:rPr>
      </w:pPr>
      <w:r w:rsidRPr="003C0399">
        <w:rPr>
          <w:rFonts w:ascii="Arial" w:hAnsi="Arial" w:cs="Arial"/>
          <w:sz w:val="22"/>
          <w:szCs w:val="22"/>
        </w:rPr>
        <w:t>(6F) In subsection (6E) and this subsection—</w:t>
      </w:r>
      <w:r>
        <w:rPr>
          <w:rFonts w:ascii="Arial" w:hAnsi="Arial" w:cs="Arial"/>
          <w:sz w:val="22"/>
          <w:szCs w:val="22"/>
        </w:rPr>
        <w:t xml:space="preserve"> </w:t>
      </w:r>
    </w:p>
    <w:p w14:paraId="027451A5" w14:textId="77777777" w:rsidR="00556802" w:rsidRDefault="00556802" w:rsidP="00556802">
      <w:pPr>
        <w:ind w:left="360"/>
        <w:jc w:val="both"/>
        <w:rPr>
          <w:rFonts w:ascii="Arial" w:hAnsi="Arial" w:cs="Arial"/>
          <w:sz w:val="22"/>
          <w:szCs w:val="22"/>
        </w:rPr>
      </w:pPr>
    </w:p>
    <w:p w14:paraId="436CD519" w14:textId="77777777" w:rsidR="00556802" w:rsidRDefault="00556802" w:rsidP="00556802">
      <w:pPr>
        <w:ind w:left="360"/>
        <w:jc w:val="both"/>
        <w:rPr>
          <w:rFonts w:ascii="Arial" w:hAnsi="Arial" w:cs="Arial"/>
          <w:sz w:val="22"/>
          <w:szCs w:val="22"/>
        </w:rPr>
      </w:pPr>
      <w:r w:rsidRPr="003C0399">
        <w:rPr>
          <w:rFonts w:ascii="Arial" w:hAnsi="Arial" w:cs="Arial"/>
          <w:sz w:val="22"/>
          <w:szCs w:val="22"/>
        </w:rPr>
        <w:t>“</w:t>
      </w:r>
      <w:proofErr w:type="gramStart"/>
      <w:r w:rsidRPr="003C0399">
        <w:rPr>
          <w:rFonts w:ascii="Arial" w:hAnsi="Arial" w:cs="Arial"/>
          <w:sz w:val="22"/>
          <w:szCs w:val="22"/>
        </w:rPr>
        <w:t>medicinal</w:t>
      </w:r>
      <w:proofErr w:type="gramEnd"/>
      <w:r w:rsidRPr="003C0399">
        <w:rPr>
          <w:rFonts w:ascii="Arial" w:hAnsi="Arial" w:cs="Arial"/>
          <w:sz w:val="22"/>
          <w:szCs w:val="22"/>
        </w:rPr>
        <w:t xml:space="preserve"> product” means a medicinal</w:t>
      </w:r>
      <w:r>
        <w:rPr>
          <w:rFonts w:ascii="Arial" w:hAnsi="Arial" w:cs="Arial"/>
          <w:sz w:val="22"/>
          <w:szCs w:val="22"/>
        </w:rPr>
        <w:t xml:space="preserve"> </w:t>
      </w:r>
      <w:r w:rsidRPr="003C0399">
        <w:rPr>
          <w:rFonts w:ascii="Arial" w:hAnsi="Arial" w:cs="Arial"/>
          <w:sz w:val="22"/>
          <w:szCs w:val="22"/>
        </w:rPr>
        <w:t>product for human use or a veterinary</w:t>
      </w:r>
      <w:r>
        <w:rPr>
          <w:rFonts w:ascii="Arial" w:hAnsi="Arial" w:cs="Arial"/>
          <w:sz w:val="22"/>
          <w:szCs w:val="22"/>
        </w:rPr>
        <w:t xml:space="preserve"> </w:t>
      </w:r>
      <w:r w:rsidRPr="003C0399">
        <w:rPr>
          <w:rFonts w:ascii="Arial" w:hAnsi="Arial" w:cs="Arial"/>
          <w:sz w:val="22"/>
          <w:szCs w:val="22"/>
        </w:rPr>
        <w:t>medicinal product;</w:t>
      </w:r>
    </w:p>
    <w:p w14:paraId="4137F5BA" w14:textId="77777777" w:rsidR="00556802" w:rsidRPr="003C0399" w:rsidRDefault="00556802" w:rsidP="00556802">
      <w:pPr>
        <w:ind w:left="360"/>
        <w:jc w:val="both"/>
        <w:rPr>
          <w:rFonts w:ascii="Arial" w:hAnsi="Arial" w:cs="Arial"/>
          <w:sz w:val="22"/>
          <w:szCs w:val="22"/>
        </w:rPr>
      </w:pPr>
    </w:p>
    <w:p w14:paraId="1ADAC2A7" w14:textId="77777777" w:rsidR="00556802" w:rsidRDefault="00556802" w:rsidP="00556802">
      <w:pPr>
        <w:ind w:left="360"/>
        <w:jc w:val="both"/>
        <w:rPr>
          <w:rFonts w:ascii="Arial" w:hAnsi="Arial" w:cs="Arial"/>
          <w:sz w:val="22"/>
          <w:szCs w:val="22"/>
        </w:rPr>
      </w:pPr>
      <w:r w:rsidRPr="003C0399">
        <w:rPr>
          <w:rFonts w:ascii="Arial" w:hAnsi="Arial" w:cs="Arial"/>
          <w:sz w:val="22"/>
          <w:szCs w:val="22"/>
        </w:rPr>
        <w:t>“medicinal product for human use” has</w:t>
      </w:r>
      <w:r>
        <w:rPr>
          <w:rFonts w:ascii="Arial" w:hAnsi="Arial" w:cs="Arial"/>
          <w:sz w:val="22"/>
          <w:szCs w:val="22"/>
        </w:rPr>
        <w:t xml:space="preserve"> </w:t>
      </w:r>
      <w:r w:rsidRPr="003C0399">
        <w:rPr>
          <w:rFonts w:ascii="Arial" w:hAnsi="Arial" w:cs="Arial"/>
          <w:sz w:val="22"/>
          <w:szCs w:val="22"/>
        </w:rPr>
        <w:t>the meaning given by article 1 of</w:t>
      </w:r>
      <w:r>
        <w:rPr>
          <w:rFonts w:ascii="Arial" w:hAnsi="Arial" w:cs="Arial"/>
          <w:sz w:val="22"/>
          <w:szCs w:val="22"/>
        </w:rPr>
        <w:t xml:space="preserve"> </w:t>
      </w:r>
      <w:r w:rsidRPr="003C0399">
        <w:rPr>
          <w:rFonts w:ascii="Arial" w:hAnsi="Arial" w:cs="Arial"/>
          <w:sz w:val="22"/>
          <w:szCs w:val="22"/>
        </w:rPr>
        <w:t>Directive 2001/83/</w:t>
      </w:r>
      <w:proofErr w:type="gramStart"/>
      <w:r w:rsidRPr="003C0399">
        <w:rPr>
          <w:rFonts w:ascii="Arial" w:hAnsi="Arial" w:cs="Arial"/>
          <w:sz w:val="22"/>
          <w:szCs w:val="22"/>
        </w:rPr>
        <w:t>EC(</w:t>
      </w:r>
      <w:proofErr w:type="gramEnd"/>
      <w:r w:rsidRPr="003C0399">
        <w:rPr>
          <w:rFonts w:ascii="Arial" w:hAnsi="Arial" w:cs="Arial"/>
          <w:sz w:val="22"/>
          <w:szCs w:val="22"/>
        </w:rPr>
        <w:t>2);</w:t>
      </w:r>
    </w:p>
    <w:p w14:paraId="556A5197" w14:textId="77777777" w:rsidR="00556802" w:rsidRPr="003C0399" w:rsidRDefault="00556802" w:rsidP="00556802">
      <w:pPr>
        <w:ind w:left="360"/>
        <w:jc w:val="both"/>
        <w:rPr>
          <w:rFonts w:ascii="Arial" w:hAnsi="Arial" w:cs="Arial"/>
          <w:sz w:val="22"/>
          <w:szCs w:val="22"/>
        </w:rPr>
      </w:pPr>
    </w:p>
    <w:p w14:paraId="6AC8EE49" w14:textId="77777777" w:rsidR="00556802" w:rsidRPr="003C0399" w:rsidRDefault="00556802" w:rsidP="00556802">
      <w:pPr>
        <w:ind w:left="360"/>
        <w:jc w:val="both"/>
        <w:rPr>
          <w:rFonts w:ascii="Arial" w:hAnsi="Arial" w:cs="Arial"/>
          <w:sz w:val="22"/>
          <w:szCs w:val="22"/>
        </w:rPr>
      </w:pPr>
      <w:r w:rsidRPr="003C0399">
        <w:rPr>
          <w:rFonts w:ascii="Arial" w:hAnsi="Arial" w:cs="Arial"/>
          <w:sz w:val="22"/>
          <w:szCs w:val="22"/>
        </w:rPr>
        <w:t>“veterinary medicinal product” has the</w:t>
      </w:r>
      <w:r>
        <w:rPr>
          <w:rFonts w:ascii="Arial" w:hAnsi="Arial" w:cs="Arial"/>
          <w:sz w:val="22"/>
          <w:szCs w:val="22"/>
        </w:rPr>
        <w:t xml:space="preserve"> </w:t>
      </w:r>
      <w:r w:rsidRPr="003C0399">
        <w:rPr>
          <w:rFonts w:ascii="Arial" w:hAnsi="Arial" w:cs="Arial"/>
          <w:sz w:val="22"/>
          <w:szCs w:val="22"/>
        </w:rPr>
        <w:t>meaning given by article 1 of Directive</w:t>
      </w:r>
      <w:r>
        <w:rPr>
          <w:rFonts w:ascii="Arial" w:hAnsi="Arial" w:cs="Arial"/>
          <w:sz w:val="22"/>
          <w:szCs w:val="22"/>
        </w:rPr>
        <w:t xml:space="preserve"> </w:t>
      </w:r>
      <w:r w:rsidRPr="003C0399">
        <w:rPr>
          <w:rFonts w:ascii="Arial" w:hAnsi="Arial" w:cs="Arial"/>
          <w:sz w:val="22"/>
          <w:szCs w:val="22"/>
        </w:rPr>
        <w:t>2001/82/</w:t>
      </w:r>
      <w:proofErr w:type="gramStart"/>
      <w:r w:rsidRPr="003C0399">
        <w:rPr>
          <w:rFonts w:ascii="Arial" w:hAnsi="Arial" w:cs="Arial"/>
          <w:sz w:val="22"/>
          <w:szCs w:val="22"/>
        </w:rPr>
        <w:t>EC(</w:t>
      </w:r>
      <w:proofErr w:type="gramEnd"/>
      <w:r w:rsidRPr="003C0399">
        <w:rPr>
          <w:rFonts w:ascii="Arial" w:hAnsi="Arial" w:cs="Arial"/>
          <w:sz w:val="22"/>
          <w:szCs w:val="22"/>
        </w:rPr>
        <w:t>3).</w:t>
      </w:r>
    </w:p>
    <w:p w14:paraId="396A5DF5" w14:textId="77777777" w:rsidR="00AF3562" w:rsidRDefault="00AF3562"/>
    <w:sectPr w:rsidR="00AF35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F1EBF"/>
    <w:multiLevelType w:val="hybridMultilevel"/>
    <w:tmpl w:val="579A36B0"/>
    <w:lvl w:ilvl="0" w:tplc="8C727228">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BD7E4F"/>
    <w:multiLevelType w:val="hybridMultilevel"/>
    <w:tmpl w:val="C52823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640442"/>
    <w:multiLevelType w:val="hybridMultilevel"/>
    <w:tmpl w:val="0AE8E4D6"/>
    <w:lvl w:ilvl="0" w:tplc="B71893E4">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4D0A4E61"/>
    <w:multiLevelType w:val="hybridMultilevel"/>
    <w:tmpl w:val="53E034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A609CA"/>
    <w:multiLevelType w:val="hybridMultilevel"/>
    <w:tmpl w:val="3FD66868"/>
    <w:lvl w:ilvl="0" w:tplc="4C24954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8D7459"/>
    <w:multiLevelType w:val="hybridMultilevel"/>
    <w:tmpl w:val="F6B665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3FC5FAD"/>
    <w:multiLevelType w:val="hybridMultilevel"/>
    <w:tmpl w:val="5746AEB6"/>
    <w:lvl w:ilvl="0" w:tplc="0EAC249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218781155">
    <w:abstractNumId w:val="3"/>
  </w:num>
  <w:num w:numId="2" w16cid:durableId="1140538434">
    <w:abstractNumId w:val="0"/>
  </w:num>
  <w:num w:numId="3" w16cid:durableId="1644311290">
    <w:abstractNumId w:val="5"/>
  </w:num>
  <w:num w:numId="4" w16cid:durableId="1674531073">
    <w:abstractNumId w:val="6"/>
  </w:num>
  <w:num w:numId="5" w16cid:durableId="2086759696">
    <w:abstractNumId w:val="2"/>
  </w:num>
  <w:num w:numId="6" w16cid:durableId="228268210">
    <w:abstractNumId w:val="4"/>
  </w:num>
  <w:num w:numId="7" w16cid:durableId="21218723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187"/>
    <w:rsid w:val="000756B7"/>
    <w:rsid w:val="000D75E8"/>
    <w:rsid w:val="00337AF8"/>
    <w:rsid w:val="00556802"/>
    <w:rsid w:val="005833B9"/>
    <w:rsid w:val="00657BAB"/>
    <w:rsid w:val="006D4C88"/>
    <w:rsid w:val="00A92E21"/>
    <w:rsid w:val="00AF3562"/>
    <w:rsid w:val="00D86187"/>
    <w:rsid w:val="00E468CE"/>
    <w:rsid w:val="00E704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B140D"/>
  <w15:docId w15:val="{6B3DAB73-0B48-41A1-AC0B-318DE0EE8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187"/>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D86187"/>
    <w:pPr>
      <w:keepNext/>
      <w:outlineLvl w:val="2"/>
    </w:pPr>
    <w:rPr>
      <w:color w:val="0000FF"/>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86187"/>
    <w:rPr>
      <w:rFonts w:ascii="Times New Roman" w:eastAsia="Times New Roman" w:hAnsi="Times New Roman" w:cs="Times New Roman"/>
      <w:color w:val="0000FF"/>
      <w:sz w:val="36"/>
      <w:szCs w:val="20"/>
    </w:rPr>
  </w:style>
  <w:style w:type="paragraph" w:styleId="ListParagraph">
    <w:name w:val="List Paragraph"/>
    <w:basedOn w:val="Normal"/>
    <w:uiPriority w:val="34"/>
    <w:qFormat/>
    <w:rsid w:val="00D86187"/>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rsid w:val="00D86187"/>
    <w:rPr>
      <w:color w:val="0000FF" w:themeColor="hyperlink"/>
      <w:u w:val="single"/>
    </w:rPr>
  </w:style>
  <w:style w:type="character" w:styleId="CommentReference">
    <w:name w:val="annotation reference"/>
    <w:basedOn w:val="DefaultParagraphFont"/>
    <w:rsid w:val="00D86187"/>
    <w:rPr>
      <w:sz w:val="16"/>
      <w:szCs w:val="16"/>
    </w:rPr>
  </w:style>
  <w:style w:type="paragraph" w:styleId="CommentText">
    <w:name w:val="annotation text"/>
    <w:basedOn w:val="Normal"/>
    <w:link w:val="CommentTextChar"/>
    <w:rsid w:val="00D86187"/>
    <w:rPr>
      <w:sz w:val="20"/>
      <w:szCs w:val="20"/>
    </w:rPr>
  </w:style>
  <w:style w:type="character" w:customStyle="1" w:styleId="CommentTextChar">
    <w:name w:val="Comment Text Char"/>
    <w:basedOn w:val="DefaultParagraphFont"/>
    <w:link w:val="CommentText"/>
    <w:rsid w:val="00D86187"/>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D86187"/>
    <w:rPr>
      <w:rFonts w:ascii="Tahoma" w:hAnsi="Tahoma" w:cs="Tahoma"/>
      <w:sz w:val="16"/>
      <w:szCs w:val="16"/>
    </w:rPr>
  </w:style>
  <w:style w:type="character" w:customStyle="1" w:styleId="BalloonTextChar">
    <w:name w:val="Balloon Text Char"/>
    <w:basedOn w:val="DefaultParagraphFont"/>
    <w:link w:val="BalloonText"/>
    <w:uiPriority w:val="99"/>
    <w:semiHidden/>
    <w:rsid w:val="00D86187"/>
    <w:rPr>
      <w:rFonts w:ascii="Tahoma" w:eastAsia="Times New Roman" w:hAnsi="Tahoma" w:cs="Tahoma"/>
      <w:sz w:val="16"/>
      <w:szCs w:val="16"/>
    </w:rPr>
  </w:style>
  <w:style w:type="table" w:styleId="TableGrid">
    <w:name w:val="Table Grid"/>
    <w:basedOn w:val="TableNormal"/>
    <w:uiPriority w:val="59"/>
    <w:rsid w:val="00D86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malp.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1633</Words>
  <Characters>9674</Characters>
  <Application>Microsoft Office Word</Application>
  <DocSecurity>0</DocSecurity>
  <Lines>230</Lines>
  <Paragraphs>66</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Colyer</dc:creator>
  <cp:lastModifiedBy>Darren Tomlinson</cp:lastModifiedBy>
  <cp:revision>4</cp:revision>
  <dcterms:created xsi:type="dcterms:W3CDTF">2017-09-15T08:32:00Z</dcterms:created>
  <dcterms:modified xsi:type="dcterms:W3CDTF">2023-09-21T13:52:00Z</dcterms:modified>
</cp:coreProperties>
</file>