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YaHei" w:hAnsi="Microsoft YaHei" w:eastAsia="Microsoft YaHei"/>
          <w:b/>
          <w:color w:val="1F4E79"/>
          <w:sz w:val="44"/>
        </w:rPr>
        <w:t>参数手册</w:t>
      </w:r>
    </w:p>
    <w:p>
      <w:pPr>
        <w:spacing w:after="180"/>
      </w:pPr>
      <w:r>
        <w:rPr>
          <w:rFonts w:ascii="Microsoft YaHei" w:hAnsi="Microsoft YaHei" w:eastAsia="Microsoft YaHei"/>
          <w:b w:val="0"/>
          <w:color w:val="475569"/>
          <w:sz w:val="21"/>
        </w:rPr>
        <w:t>默认参数、全局引用、参数扫描与外部 MATLAB 组件</w:t>
      </w:r>
    </w:p>
    <w:p>
      <w:pPr>
        <w:pStyle w:val="Heading1"/>
      </w:pPr>
      <w:r>
        <w:t>1. 编辑组件参数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将组件拖入工作区，双击组件；选中节点或连线后按 Delete 或 Backspace 删除。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修改“值”；单位列只显示单位，不在值中重复输入单位。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布尔值使用 True / False；自动选择项使用 Auto。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选择“确定”，保存拓扑后参数写入 JSON 的 nodes[].params。</w:t>
      </w:r>
    </w:p>
    <w:p>
      <w:pPr>
        <w:pStyle w:val="Heading1"/>
      </w:pPr>
      <w:r>
        <w:t>2. 默认组件参数</w:t>
      </w:r>
    </w:p>
    <w:tbl>
      <w:tblPr>
        <w:tblStyle w:val="TableGrid"/>
        <w:tblW w:type="dxa" w:w="10368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728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2376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默认值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DAC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ElectricalBandwidth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32 GHz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电带宽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DAC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Resolution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8 bit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量化位数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Driver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Gain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2 dB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驱动器增益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Driver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NF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4 dB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噪声系数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Modulator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Vpi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3 V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半波电压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Modulator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Bandwidth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35 GHz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调制器电带宽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LaserCW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Power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13 dBm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平均输出光功率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LaserCW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TransmitFrequency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193.1 THz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发射频率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LaserCW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Linewidth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100 kHz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激光线宽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LaserCW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RIN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-150 dB/Hz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相对强度噪声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LO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Power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13 dBm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本振光功率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LO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Linewidth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100 kHz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本振线宽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LO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FreqOffset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0.5 GHz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本振频偏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LO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Phase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 deg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初始相位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LO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RIN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-150 dB/Hz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相对强度噪声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Combiner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Enabled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True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是否启用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Combiner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Comment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VOA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Mode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OutputPower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工作模式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VOA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OutputPower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 dBm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VOA的输出功率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VOA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Attenuation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 dB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衰减量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OA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Mode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OutputPower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工作模式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OA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OutputPower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 dBm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EDFA 输出功率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OA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Gain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 dB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光放大器增益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OA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NF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4 dB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噪声系数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EDFA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Mode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OutputPower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工作模式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EDFA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OutputPower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 dBm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EDFA 输出功率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EDFA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Gain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 dB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光放大器增益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EDFA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NF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4 dB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噪声系数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Fiber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Length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20 km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光纤长度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Fiber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Attenuation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0.2 dB/km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插损/衰减系数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Fiber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Dispersion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16.7 ps/nm/km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色散参数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Fiber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Nonlinearity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1.3 1/W/km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非线性系数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ICR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Bandwidth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25 GHz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接收机带宽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ICR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Responsivity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0.6 A/W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探测器响应度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ICR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ThermalNoise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True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启用热噪声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ICR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ShotNoise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True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启用散粒噪声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ICR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DarkCurrent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10 nA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暗电流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TIA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Bandwidth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35 GHz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TIA 带宽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TIA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Gain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2000 Ohm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跨阻增益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ADC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Bandwidth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59 GHz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ADC 模拟带宽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ADC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Resolution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10 bit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量化位数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ADC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SamplingRate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256 GSa/s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采样率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OLTTxDSP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TransmitFrequency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193.1 THz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发射频率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OLTTxDSP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BaudRate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6.25 GBaud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每子载波波特率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OLTTxDSP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Modulation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16QAM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调制格式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OLTTxDSP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SymbolNumber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32768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符号数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OLTTxDSP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NumBands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发端子载波数量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ONUTxDSP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TransmitFrequency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193.1 THz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发射频率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ONUTxDSP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BaudRate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25 GBaud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上行 burst 波特率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ONUTxDSP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Modulation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QPSK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调制格式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ONUTxDSP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SymbolNumber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32768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符号数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ONUTxDSP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NumBands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Auto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ONU数（由ONUTxDSP数量统计）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ONURxDSP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Modulation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16QAM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调制格式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ONURxDSP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CD_Compensation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True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色散补偿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ONURxDSP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Adaptive_EQ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True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自适应均衡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OLTRxDSP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Modulation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QPSK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调制格式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OLTRxDSP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CD_Compensation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True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色散补偿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OLTRxDSP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Adaptive_EQ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True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自适应均衡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OLTRxDSP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TargetONU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Auto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上行目标 ONU 时隙</w:t>
            </w:r>
          </w:p>
        </w:tc>
      </w:tr>
    </w:tbl>
    <w:p>
      <w:pPr>
        <w:spacing w:after="20"/>
      </w:pPr>
    </w:p>
    <w:tbl>
      <w:tblPr>
        <w:tblStyle w:val="TableGrid"/>
        <w:tblW w:type="dxa" w:w="10367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1655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无编辑项</w:t>
            </w:r>
          </w:p>
        </w:tc>
        <w:tc>
          <w:tcPr>
            <w:tcW w:type="dxa" w:w="871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Splitter、Pol_Rot、O/E-Analyzer、PowerMeter 当前不提供组件参数。</w:t>
            </w:r>
          </w:p>
        </w:tc>
      </w:tr>
    </w:tbl>
    <w:p>
      <w:pPr>
        <w:spacing w:after="20"/>
      </w:pPr>
    </w:p>
    <w:p>
      <w:pPr>
        <w:pStyle w:val="Heading1"/>
      </w:pPr>
      <w:r>
        <w:t>3. 全局参数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双击工作区空白处，打开“编辑全局参数”。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添加名称、值、单位和说明。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在组件参数值中填写 $名称 或 {名称}。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运行时先解析 global_params，再传入 MATLAB 组件。</w:t>
      </w:r>
    </w:p>
    <w:tbl>
      <w:tblPr>
        <w:tblStyle w:val="TableGrid"/>
        <w:tblW w:type="dxa" w:w="10367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1655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871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全局参数 LaunchPower=3；LaserCW.Power 填写 $LaunchPower。</w:t>
            </w:r>
          </w:p>
        </w:tc>
      </w:tr>
    </w:tbl>
    <w:p>
      <w:pPr>
        <w:spacing w:after="20"/>
      </w:pPr>
    </w:p>
    <w:p>
      <w:pPr>
        <w:pStyle w:val="Heading1"/>
      </w:pPr>
      <w:r>
        <w:t>4. 参数扫描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选择“仿真 &gt; 参数扫描”，添加扫描项。</w:t>
      </w:r>
    </w:p>
    <w:tbl>
      <w:tblPr>
        <w:tblStyle w:val="TableGrid"/>
        <w:tblW w:type="dxa" w:w="10368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232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8136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填写规则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启用</w:t>
            </w:r>
          </w:p>
        </w:tc>
        <w:tc>
          <w:tcPr>
            <w:tcW w:type="dxa" w:w="813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仅运行已勾选的扫描项。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深度</w:t>
            </w:r>
          </w:p>
        </w:tc>
        <w:tc>
          <w:tcPr>
            <w:tcW w:type="dxa" w:w="813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同深度参数同步变化；不同深度参数做组合扫描。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组件 / 参数</w:t>
            </w:r>
          </w:p>
        </w:tc>
        <w:tc>
          <w:tcPr>
            <w:tcW w:type="dxa" w:w="813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选择当前拓扑中的节点及其参数。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起始 / 终止 / 步长</w:t>
            </w:r>
          </w:p>
        </w:tc>
        <w:tc>
          <w:tcPr>
            <w:tcW w:type="dxa" w:w="813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填写数值；步长不能为 0，方向与范围自动匹配。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单位</w:t>
            </w:r>
          </w:p>
        </w:tc>
        <w:tc>
          <w:tcPr>
            <w:tcW w:type="dxa" w:w="813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从组件参数读取。</w:t>
            </w:r>
          </w:p>
        </w:tc>
      </w:tr>
    </w:tbl>
    <w:p>
      <w:pPr>
        <w:spacing w:after="20"/>
      </w:pP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按 F5 运行；Ctrl+F6 请求暂停，F6 恢复，Shift+F5 停止。暂停在当前 MATLAB 调用结束后生效。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停止或异常后再次运行同一拓扑，自动读取匹配的断点文件并跳过已完成扫描点。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打开“仿真 &gt; 仿真结果”，选择“导出 CSV”或“导出 XLSX”。XLSX 包含 Summary、Sweep 和 PowerBudget 工作表。</w:t>
      </w:r>
    </w:p>
    <w:tbl>
      <w:tblPr>
        <w:tblStyle w:val="TableGrid"/>
        <w:tblW w:type="dxa" w:w="10367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1655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扫描优化</w:t>
            </w:r>
          </w:p>
        </w:tc>
        <w:tc>
          <w:tcPr>
            <w:tcW w:type="dxa" w:w="871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首个扫描点计算完整拓扑；后续扫描点复用不受扫描参数影响的节点输出。扫描完成后自动删除断点文件。</w:t>
            </w:r>
          </w:p>
        </w:tc>
      </w:tr>
    </w:tbl>
    <w:p>
      <w:pPr>
        <w:spacing w:after="20"/>
      </w:pPr>
    </w:p>
    <w:p>
      <w:pPr>
        <w:pStyle w:val="Heading1"/>
      </w:pPr>
      <w:r>
        <w:t>5. 扫描断点文件</w:t>
      </w:r>
    </w:p>
    <w:tbl>
      <w:tblPr>
        <w:tblStyle w:val="TableGrid"/>
        <w:tblW w:type="dxa" w:w="10368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088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设计状态</w:t>
            </w:r>
          </w:p>
        </w:tc>
        <w:tc>
          <w:tcPr>
            <w:tcW w:type="dxa" w:w="8280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断点位置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已保存拓扑</w:t>
            </w:r>
          </w:p>
        </w:tc>
        <w:tc>
          <w:tcPr>
            <w:tcW w:type="dxa" w:w="828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与拓扑文件同目录：&lt;拓扑名&gt;.sweep-checkpoint.json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未保存拓扑</w:t>
            </w:r>
          </w:p>
        </w:tc>
        <w:tc>
          <w:tcPr>
            <w:tcW w:type="dxa" w:w="828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系统临时目录/OpticalSystemGUI/sweep_checkpoints/&lt;拓扑签名&gt;.json</w:t>
            </w:r>
          </w:p>
        </w:tc>
      </w:tr>
    </w:tbl>
    <w:p>
      <w:pPr>
        <w:spacing w:after="20"/>
      </w:pPr>
    </w:p>
    <w:tbl>
      <w:tblPr>
        <w:tblStyle w:val="TableGrid"/>
        <w:tblW w:type="dxa" w:w="10368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3240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7128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topology_signature</w:t>
            </w:r>
          </w:p>
        </w:tc>
        <w:tc>
          <w:tcPr>
            <w:tcW w:type="dxa" w:w="71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匹配拓扑、参数和扫描设置。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completed_points / total_points</w:t>
            </w:r>
          </w:p>
        </w:tc>
        <w:tc>
          <w:tcPr>
            <w:tcW w:type="dxa" w:w="712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记录已完成点数和总点数。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rows</w:t>
            </w:r>
          </w:p>
        </w:tc>
        <w:tc>
          <w:tcPr>
            <w:tcW w:type="dxa" w:w="712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保存已完成扫描点的 BER、SNR、功率和扫描值。</w:t>
            </w:r>
          </w:p>
        </w:tc>
      </w:tr>
    </w:tbl>
    <w:p>
      <w:pPr>
        <w:spacing w:after="20"/>
      </w:pPr>
    </w:p>
    <w:p>
      <w:pPr>
        <w:pStyle w:val="Heading1"/>
      </w:pPr>
      <w:r>
        <w:t>6. MatlabFile 外部组件</w:t>
      </w:r>
    </w:p>
    <w:tbl>
      <w:tblPr>
        <w:tblStyle w:val="TableGrid"/>
        <w:tblW w:type="dxa" w:w="10368"/>
        <w:jc w:val="left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2160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默认值</w:t>
            </w:r>
          </w:p>
        </w:tc>
        <w:tc>
          <w:tcPr>
            <w:tcW w:type="dxa" w:w="6768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MatlabFile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外部 .m 文件完整路径。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FunctionName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676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函数名或 [out_a,out_b]=my_function(arg_a,arg_b)。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AddToPath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True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运行前将 .m 文件目录加入 MATLAB 路径。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Nargout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6768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简单函数名模式的输出数量。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MergeOutput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True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struct 输出字段合并到节点工作区。</w:t>
            </w:r>
          </w:p>
        </w:tc>
      </w:tr>
    </w:tbl>
    <w:p>
      <w:pPr>
        <w:spacing w:after="20"/>
      </w:pP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选择“工具 &gt; 外部 MATLAB 组件向导”。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选择 .m 文件；向导读取 function 声明并填写函数名和输出数量。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确认调用表达式、AddToPath、Nargout 和 MergeOutput，选择“确定”创建节点。</w:t>
      </w:r>
    </w:p>
    <w:tbl>
      <w:tblPr>
        <w:tblStyle w:val="TableGrid"/>
        <w:tblW w:type="dxa" w:w="10367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1655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函数一致性</w:t>
            </w:r>
          </w:p>
        </w:tc>
        <w:tc>
          <w:tcPr>
            <w:tcW w:type="dxa" w:w="8712"/>
            <w:vAlign w:val="center"/>
            <w:shd w:fill="D9EA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FunctionName 中的函数名必须与 .m 文件的 function 声明一致。</w:t>
            </w:r>
          </w:p>
        </w:tc>
      </w:tr>
    </w:tbl>
    <w:p>
      <w:pPr>
        <w:spacing w:after="20"/>
      </w:pPr>
    </w:p>
    <w:p>
      <w:pPr>
        <w:pStyle w:val="Heading1"/>
      </w:pPr>
      <w:r>
        <w:t>7. MATLAB 与仿真记录</w:t>
      </w:r>
    </w:p>
    <w:p>
      <w:pPr>
        <w:pStyle w:val="Heading1"/>
      </w:pPr>
      <w:r>
        <w:t>Windows 可执行文件不内置固定版本的 MATLAB Engine；启动时从检测到的最高版本 MATLAB 安装目录加载 Engine。</w:t>
      </w:r>
    </w:p>
    <w:p>
      <w:pPr>
        <w:pStyle w:val="ListNumber"/>
      </w:pPr>
      <w:r>
        <w:t>组件级状态日志使用同类型组件编号，格式为“组件名+编号”，例如 ONURxDSP1、ONURxDSP2。</w:t>
      </w:r>
    </w:p>
    <w:tbl>
      <w:tblPr>
        <w:tblStyle w:val="TableGrid"/>
        <w:tblW w:type="dxa" w:w="10367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2376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992"/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位置 / 字段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MATLAB 选择记录</w:t>
            </w:r>
          </w:p>
        </w:tc>
        <w:tc>
          <w:tcPr>
            <w:tcW w:type="dxa" w:w="7992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Windows: %APPDATA%\OpticalSystemGUI\matlab_engine.json；macOS: ~/Library/Application Support/OpticalSystemGUI/matlab_engine.json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自动发现</w:t>
            </w:r>
          </w:p>
        </w:tc>
        <w:tc>
          <w:tcPr>
            <w:tcW w:type="dxa" w:w="7992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Windows: C:\Program Files\MATLAB\R*；macOS: /Applications/MATLAB_R*.app；按 RYYYYa/RYYYYb 选择最高版本。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仿真可复现记录</w:t>
            </w:r>
          </w:p>
        </w:tc>
        <w:tc>
          <w:tcPr>
            <w:tcW w:type="dxa" w:w="7992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已保存拓扑：同目录 simulation_records；未保存拓扑：项目 simulation_records。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记录字段</w:t>
            </w:r>
          </w:p>
        </w:tc>
        <w:tc>
          <w:tcPr>
            <w:tcW w:type="dxa" w:w="7992"/>
            <w:vAlign w:val="center"/>
            <w:shd w:fill="F2F4F7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created_at、topology_signature、environment、topology、outputs。</w:t>
            </w:r>
          </w:p>
        </w:tc>
      </w:tr>
    </w:tbl>
    <w:p>
      <w:pPr>
        <w:spacing w:after="20"/>
      </w:pPr>
    </w:p>
    <w:p>
      <w:pPr>
        <w:pStyle w:val="Heading1"/>
      </w:pPr>
      <w:r>
        <w:t>8. 仿真预检查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检查空拓扑、缺失节点、无效连接和有向环。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检查组件到 MATLAB 函数的映射。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检查 MatlabFile 文件、扩展名和函数名。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1F2937"/>
          <w:sz w:val="18"/>
        </w:rPr>
        <w:t>检查启用扫描项的节点、参数、范围和非零步长。</w:t>
      </w:r>
    </w:p>
    <w:p>
      <w:pPr>
        <w:pStyle w:val="Heading1"/>
      </w:pPr>
      <w:r>
        <w:t>9. 实测带宽数据集</w:t>
      </w:r>
    </w:p>
    <w:p>
      <w:pPr>
        <w:pStyle w:val="ListNumber"/>
      </w:pPr>
      <w:r>
        <w:t>双击工作区中的 Modulator 或 ICR，在参数窗口的“带宽模型”区域单击“导入实测数据...”。</w:t>
      </w:r>
    </w:p>
    <w:p>
      <w:pPr>
        <w:pStyle w:val="ListNumber"/>
      </w:pPr>
      <w:r>
        <w:t>选择调制器或相干接收机，按 XI、XQ、YI、YQ 顺序指定 4 个 XLSX、CSV、TSV 或 TXT 文件。</w:t>
      </w:r>
    </w:p>
    <w:p>
      <w:pPr>
        <w:pStyle w:val="ListNumber"/>
      </w:pPr>
      <w:r>
        <w:t>设置频率列、响应列和频率单位；XLSX 读取首个工作表，列号从 1 开始。</w:t>
      </w:r>
    </w:p>
    <w:p>
      <w:pPr>
        <w:pStyle w:val="ListNumber"/>
      </w:pPr>
      <w:r>
        <w:t>选择是否按 0.5–2 GHz 中位数归一化，单击“读取并预览”；文件在后台读取，小进度条在读取期间显示，完成后检查曲线、点数、频率范围和 -3 dB 带宽。</w:t>
      </w:r>
    </w:p>
    <w:p>
      <w:pPr>
        <w:pStyle w:val="ListNumber"/>
      </w:pPr>
      <w:r>
        <w:t>单击“确认导入”写入数据集；读取失败或取消时不写入目录，也不修改组件参数。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81"/>
            <w:vAlign w:val="center"/>
          </w:tcPr>
          <w:p>
            <w:r>
              <w:t>配置项</w:t>
            </w:r>
          </w:p>
        </w:tc>
        <w:tc>
          <w:tcPr>
            <w:tcW w:type="dxa" w:w="2835"/>
            <w:vAlign w:val="center"/>
          </w:tcPr>
          <w:p>
            <w:r>
              <w:t>取值</w:t>
            </w:r>
          </w:p>
        </w:tc>
        <w:tc>
          <w:tcPr>
            <w:tcW w:type="dxa" w:w="4535"/>
            <w:vAlign w:val="center"/>
          </w:tcPr>
          <w:p>
            <w:r>
              <w:t>功能</w:t>
            </w:r>
          </w:p>
        </w:tc>
      </w:tr>
      <w:tr>
        <w:tc>
          <w:tcPr>
            <w:tcW w:type="dxa" w:w="2381"/>
            <w:vAlign w:val="center"/>
          </w:tcPr>
          <w:p>
            <w:r>
              <w:t>BandwidthModel</w:t>
            </w:r>
          </w:p>
        </w:tc>
        <w:tc>
          <w:tcPr>
            <w:tcW w:type="dxa" w:w="2835"/>
            <w:vAlign w:val="center"/>
          </w:tcPr>
          <w:p>
            <w:r>
              <w:t>IdealBessel / Measured</w:t>
            </w:r>
          </w:p>
        </w:tc>
        <w:tc>
          <w:tcPr>
            <w:tcW w:type="dxa" w:w="4535"/>
            <w:vAlign w:val="center"/>
          </w:tcPr>
          <w:p>
            <w:r>
              <w:t>选择代码原始 Bessel5 模型或实测幅频响应。</w:t>
            </w:r>
          </w:p>
        </w:tc>
      </w:tr>
      <w:tr>
        <w:tc>
          <w:tcPr>
            <w:tcW w:type="dxa" w:w="2381"/>
            <w:vAlign w:val="center"/>
          </w:tcPr>
          <w:p>
            <w:r>
              <w:t>BandwidthDataset</w:t>
            </w:r>
          </w:p>
        </w:tc>
        <w:tc>
          <w:tcPr>
            <w:tcW w:type="dxa" w:w="2835"/>
            <w:vAlign w:val="center"/>
          </w:tcPr>
          <w:p>
            <w:r>
              <w:t>数据集 ID</w:t>
            </w:r>
          </w:p>
        </w:tc>
        <w:tc>
          <w:tcPr>
            <w:tcW w:type="dxa" w:w="4535"/>
            <w:vAlign w:val="center"/>
          </w:tcPr>
          <w:p>
            <w:r>
              <w:t>仅在 Measured 模式下引用数据集。</w:t>
            </w:r>
          </w:p>
        </w:tc>
      </w:tr>
      <w:tr>
        <w:tc>
          <w:tcPr>
            <w:tcW w:type="dxa" w:w="2381"/>
            <w:vAlign w:val="center"/>
          </w:tcPr>
          <w:p>
            <w:r>
              <w:t>Bandwidth</w:t>
            </w:r>
          </w:p>
        </w:tc>
        <w:tc>
          <w:tcPr>
            <w:tcW w:type="dxa" w:w="2835"/>
            <w:vAlign w:val="center"/>
          </w:tcPr>
          <w:p>
            <w:r>
              <w:t>Modulator 35 GHz；ICR 25 GHz</w:t>
            </w:r>
          </w:p>
        </w:tc>
        <w:tc>
          <w:tcPr>
            <w:tcW w:type="dxa" w:w="4535"/>
            <w:vAlign w:val="center"/>
          </w:tcPr>
          <w:p>
            <w:r>
              <w:t>原始 Bessel5 的 -3 dB 带宽；导入数据不会改写此值。</w:t>
            </w:r>
          </w:p>
        </w:tc>
      </w:tr>
      <w:tr>
        <w:tc>
          <w:tcPr>
            <w:tcW w:type="dxa" w:w="2381"/>
            <w:vAlign w:val="center"/>
          </w:tcPr>
          <w:p>
            <w:r>
              <w:t>频率列 / 响应列</w:t>
            </w:r>
          </w:p>
        </w:tc>
        <w:tc>
          <w:tcPr>
            <w:tcW w:type="dxa" w:w="2835"/>
            <w:vAlign w:val="center"/>
          </w:tcPr>
          <w:p>
            <w:r>
              <w:t>从 1 开始</w:t>
            </w:r>
          </w:p>
        </w:tc>
        <w:tc>
          <w:tcPr>
            <w:tcW w:type="dxa" w:w="4535"/>
            <w:vAlign w:val="center"/>
          </w:tcPr>
          <w:p>
            <w:r>
              <w:t>从测试文件提取频率和幅度 dB。</w:t>
            </w:r>
          </w:p>
        </w:tc>
      </w:tr>
      <w:tr>
        <w:tc>
          <w:tcPr>
            <w:tcW w:type="dxa" w:w="2381"/>
            <w:vAlign w:val="center"/>
          </w:tcPr>
          <w:p>
            <w:r>
              <w:t>频率单位</w:t>
            </w:r>
          </w:p>
        </w:tc>
        <w:tc>
          <w:tcPr>
            <w:tcW w:type="dxa" w:w="2835"/>
            <w:vAlign w:val="center"/>
          </w:tcPr>
          <w:p>
            <w:r>
              <w:t>GHz / MHz / Hz</w:t>
            </w:r>
          </w:p>
        </w:tc>
        <w:tc>
          <w:tcPr>
            <w:tcW w:type="dxa" w:w="4535"/>
            <w:vAlign w:val="center"/>
          </w:tcPr>
          <w:p>
            <w:r>
              <w:t>导入后统一换算为 Hz。</w:t>
            </w:r>
          </w:p>
        </w:tc>
      </w:tr>
      <w:tr>
        <w:tc>
          <w:tcPr>
            <w:tcW w:type="dxa" w:w="2381"/>
            <w:vAlign w:val="center"/>
          </w:tcPr>
          <w:p>
            <w:r>
              <w:t>归一化</w:t>
            </w:r>
          </w:p>
        </w:tc>
        <w:tc>
          <w:tcPr>
            <w:tcW w:type="dxa" w:w="2835"/>
            <w:vAlign w:val="center"/>
          </w:tcPr>
          <w:p>
            <w:r>
              <w:t>启用 / 停用</w:t>
            </w:r>
          </w:p>
        </w:tc>
        <w:tc>
          <w:tcPr>
            <w:tcW w:type="dxa" w:w="4535"/>
            <w:vAlign w:val="center"/>
          </w:tcPr>
          <w:p>
            <w:r>
              <w:t>启用时减去 0.5–2 GHz 区间幅度中位数。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082"/>
            <w:vAlign w:val="center"/>
          </w:tcPr>
          <w:p>
            <w:r>
              <w:t>数据字段</w:t>
            </w:r>
          </w:p>
        </w:tc>
        <w:tc>
          <w:tcPr>
            <w:tcW w:type="dxa" w:w="5669"/>
            <w:vAlign w:val="center"/>
          </w:tcPr>
          <w:p>
            <w:r>
              <w:t>内容</w:t>
            </w:r>
          </w:p>
        </w:tc>
      </w:tr>
      <w:tr>
        <w:tc>
          <w:tcPr>
            <w:tcW w:type="dxa" w:w="4082"/>
            <w:vAlign w:val="center"/>
          </w:tcPr>
          <w:p>
            <w:r>
              <w:t>lanes.XI/XQ/YI/YQ.frequency_hz</w:t>
            </w:r>
          </w:p>
        </w:tc>
        <w:tc>
          <w:tcPr>
            <w:tcW w:type="dxa" w:w="5669"/>
            <w:vAlign w:val="center"/>
          </w:tcPr>
          <w:p>
            <w:r>
              <w:t>严格递增的非负频率。</w:t>
            </w:r>
          </w:p>
        </w:tc>
      </w:tr>
      <w:tr>
        <w:tc>
          <w:tcPr>
            <w:tcW w:type="dxa" w:w="4082"/>
            <w:vAlign w:val="center"/>
          </w:tcPr>
          <w:p>
            <w:r>
              <w:t>lanes.XI/XQ/YI/YQ.magnitude_db</w:t>
            </w:r>
          </w:p>
        </w:tc>
        <w:tc>
          <w:tcPr>
            <w:tcW w:type="dxa" w:w="5669"/>
            <w:vAlign w:val="center"/>
          </w:tcPr>
          <w:p>
            <w:r>
              <w:t>与频率等长的幅度响应；仿真使用线性插值并保持两端值。</w:t>
            </w:r>
          </w:p>
        </w:tc>
      </w:tr>
      <w:tr>
        <w:tc>
          <w:tcPr>
            <w:tcW w:type="dxa" w:w="4082"/>
            <w:vAlign w:val="center"/>
          </w:tcPr>
          <w:p>
            <w:r>
              <w:t>sources[].sha256</w:t>
            </w:r>
          </w:p>
        </w:tc>
        <w:tc>
          <w:tcPr>
            <w:tcW w:type="dxa" w:w="5669"/>
            <w:vAlign w:val="center"/>
          </w:tcPr>
          <w:p>
            <w:r>
              <w:t>原始测试文件 SHA-256，用于仿真可复现记录。</w:t>
            </w:r>
          </w:p>
        </w:tc>
      </w:tr>
      <w:tr>
        <w:tc>
          <w:tcPr>
            <w:tcW w:type="dxa" w:w="4082"/>
            <w:vAlign w:val="center"/>
          </w:tcPr>
          <w:p>
            <w:r>
              <w:t>bandwidth_3db_hz</w:t>
            </w:r>
          </w:p>
        </w:tc>
        <w:tc>
          <w:tcPr>
            <w:tcW w:type="dxa" w:w="5669"/>
            <w:vAlign w:val="center"/>
          </w:tcPr>
          <w:p>
            <w:r>
              <w:t>从 2 GHz 起搜索首次 -3 dB 交点并线性插值。</w:t>
            </w:r>
          </w:p>
        </w:tc>
      </w:tr>
    </w:tbl>
    <w:p>
      <w:pPr>
        <w:pStyle w:val="Heading1"/>
      </w:pPr>
      <w:r>
        <w:t>10. 应用、回退与重置</w:t>
      </w:r>
    </w:p>
    <w:p>
      <w:pPr>
        <w:pStyle w:val="ListNumber"/>
      </w:pPr>
      <w:r>
        <w:t>在同一参数窗口选择“实测幅频响应”和匹配数据集，核对四通道 -3 dB 摘要后单击“确定”。</w:t>
      </w:r>
    </w:p>
    <w:p>
      <w:pPr>
        <w:pStyle w:val="ListNumber"/>
      </w:pPr>
      <w:r>
        <w:t>双击组件并选择“原始 Bessel5”，单击“确定”；该操作保留当前标量参数。</w:t>
      </w:r>
    </w:p>
    <w:p>
      <w:pPr>
        <w:pStyle w:val="ListNumber"/>
      </w:pPr>
      <w:r>
        <w:t>单击“恢复该组件默认参数”恢复该节点的代码默认参数并切回 IdealBessel。</w:t>
      </w:r>
    </w:p>
    <w:p>
      <w:pPr>
        <w:pStyle w:val="ListNumber"/>
      </w:pPr>
      <w:r>
        <w:t>选择“工具 &gt; 恢复全部默认参数”恢复全部节点参数、停用实测模型、清空全局参数和参数扫描；保留拓扑布局及数据集文件。</w:t>
      </w:r>
    </w:p>
    <w:p>
      <w:pPr>
        <w:pStyle w:val="ListNumber"/>
      </w:pPr>
      <w:r>
        <w:t>选择“工具 &gt; 重置软件状态”执行上一项操作，并清除当前仿真结果和 MATLAB 工作区缓存。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35"/>
            <w:vAlign w:val="center"/>
          </w:tcPr>
          <w:p>
            <w:r>
              <w:t>状态</w:t>
            </w:r>
          </w:p>
        </w:tc>
        <w:tc>
          <w:tcPr>
            <w:tcW w:type="dxa" w:w="6917"/>
            <w:vAlign w:val="center"/>
          </w:tcPr>
          <w:p>
            <w:r>
              <w:t>规则</w:t>
            </w:r>
          </w:p>
        </w:tc>
      </w:tr>
      <w:tr>
        <w:tc>
          <w:tcPr>
            <w:tcW w:type="dxa" w:w="2835"/>
            <w:vAlign w:val="center"/>
          </w:tcPr>
          <w:p>
            <w:r>
              <w:t>软件启动 / 新建设计</w:t>
            </w:r>
          </w:p>
        </w:tc>
        <w:tc>
          <w:tcPr>
            <w:tcW w:type="dxa" w:w="6917"/>
            <w:vAlign w:val="center"/>
          </w:tcPr>
          <w:p>
            <w:r>
              <w:t>使用 DEFAULT_COMPONENT_PARAMS 和 IdealBessel；不自动激活上次数据集或参数。</w:t>
            </w:r>
          </w:p>
        </w:tc>
      </w:tr>
      <w:tr>
        <w:tc>
          <w:tcPr>
            <w:tcW w:type="dxa" w:w="2835"/>
            <w:vAlign w:val="center"/>
          </w:tcPr>
          <w:p>
            <w:r>
              <w:t>打开已保存设计</w:t>
            </w:r>
          </w:p>
        </w:tc>
        <w:tc>
          <w:tcPr>
            <w:tcW w:type="dxa" w:w="6917"/>
            <w:vAlign w:val="center"/>
          </w:tcPr>
          <w:p>
            <w:r>
              <w:t>按用户操作加载 nodes[].params 和 nodes[].model_config。</w:t>
            </w:r>
          </w:p>
        </w:tc>
      </w:tr>
      <w:tr>
        <w:tc>
          <w:tcPr>
            <w:tcW w:type="dxa" w:w="2835"/>
            <w:vAlign w:val="center"/>
          </w:tcPr>
          <w:p>
            <w:r>
              <w:t>导入数据集</w:t>
            </w:r>
          </w:p>
        </w:tc>
        <w:tc>
          <w:tcPr>
            <w:tcW w:type="dxa" w:w="6917"/>
            <w:vAlign w:val="center"/>
          </w:tcPr>
          <w:p>
            <w:r>
              <w:t>数据集进入目录，但不会自动应用到任何节点。</w:t>
            </w:r>
          </w:p>
        </w:tc>
      </w:tr>
      <w:tr>
        <w:tc>
          <w:tcPr>
            <w:tcW w:type="dxa" w:w="2835"/>
            <w:vAlign w:val="center"/>
          </w:tcPr>
          <w:p>
            <w:r>
              <w:t>仿真运行</w:t>
            </w:r>
          </w:p>
        </w:tc>
        <w:tc>
          <w:tcPr>
            <w:tcW w:type="dxa" w:w="6917"/>
            <w:vAlign w:val="center"/>
          </w:tcPr>
          <w:p>
            <w:r>
              <w:t>运行时解析数据集路径并生成 MATLAB 临时参数，不回写拓扑和默认参数。</w:t>
            </w:r>
          </w:p>
        </w:tc>
      </w:tr>
      <w:tr>
        <w:tc>
          <w:tcPr>
            <w:tcW w:type="dxa" w:w="2835"/>
            <w:vAlign w:val="center"/>
          </w:tcPr>
          <w:p>
            <w:r>
              <w:t>删除数据集</w:t>
            </w:r>
          </w:p>
        </w:tc>
        <w:tc>
          <w:tcPr>
            <w:tcW w:type="dxa" w:w="6917"/>
            <w:vAlign w:val="center"/>
          </w:tcPr>
          <w:p>
            <w:r>
              <w:t>正在被当前设计引用时禁止删除；删除不影响代码默认参数。</w:t>
            </w:r>
          </w:p>
        </w:tc>
      </w:tr>
    </w:tbl>
    <w:p>
      <w:r>
        <w:t>数据集目录：Windows 为 %LOCALAPPDATA%\OpticalSystemGUI\measurement_datasets；macOS 为 ~/Library/Application Support/OpticalSystemGUI/measurement_datasets。</w:t>
      </w:r>
    </w:p>
    <w:p>
      <w:pPr>
        <w:pStyle w:val="Heading1"/>
      </w:pPr>
      <w:r>
        <w:t>11. 预检查、诊断与记录</w:t>
      </w:r>
    </w:p>
    <w:p>
      <w:pPr>
        <w:pStyle w:val="Heading1"/>
      </w:pPr>
      <w:r>
        <w:t>断开后重新选择 MATLAB 根目录时保留已完整加载的 Engine 模块，只清理导入失败留下的部分模块。</w:t>
      </w:r>
    </w:p>
    <w:p>
      <w:pPr>
        <w:pStyle w:val="ListNumber"/>
      </w:pPr>
      <w:r>
        <w:t>仿真预检查验证数据集存在、格式有效、包含四通道且设备类型与节点匹配。</w:t>
      </w:r>
    </w:p>
    <w:p>
      <w:pPr>
        <w:pStyle w:val="ListNumber"/>
      </w:pPr>
      <w:r>
        <w:t>“工具 &gt; MATLAB 诊断”显示数据集目录、数量、ID、设备类型和文件位置。</w:t>
      </w:r>
    </w:p>
    <w:p>
      <w:pPr>
        <w:pStyle w:val="ListNumber"/>
      </w:pPr>
      <w:r>
        <w:t>仿真记录的 measurement_datasets 字段保存数据集 ID、名称、设备类型、归一化方式和源文件 SHA-256。</w:t>
      </w:r>
    </w:p>
    <w:p>
      <w:pPr>
        <w:pStyle w:val="ListNumber"/>
      </w:pPr>
      <w:r>
        <w:t>导入、切换、回退、恢复或删除数据集后清除 MATLAB 实测响应缓存；数据集文件不随缓存清理删除。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48B"/>
        <w:sz w:val="15"/>
      </w:rPr>
      <w:t>更新：2026-08-26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4748B"/>
        <w:sz w:val="16"/>
      </w:rPr>
      <w:t>Optical System GUI · 操作参考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2026-08-26T06:10:48Z</dcterms:modified>
  <cp:category/>
</cp:coreProperties>
</file>