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Microsoft YaHei" w:hAnsi="Microsoft YaHei" w:eastAsia="Microsoft YaHei"/>
          <w:b/>
          <w:color w:val="1F4E79"/>
          <w:sz w:val="44"/>
        </w:rPr>
        <w:t>普通用户运行说明</w:t>
      </w:r>
    </w:p>
    <w:p>
      <w:pPr>
        <w:spacing w:after="180"/>
      </w:pPr>
      <w:r>
        <w:rPr>
          <w:rFonts w:ascii="Microsoft YaHei" w:hAnsi="Microsoft YaHei" w:eastAsia="Microsoft YaHei"/>
          <w:b w:val="0"/>
          <w:color w:val="475569"/>
          <w:sz w:val="21"/>
        </w:rPr>
        <w:t>Windows / macOS 启动、建模、仿真与结果导出</w:t>
      </w:r>
    </w:p>
    <w:p>
      <w:pPr>
        <w:pStyle w:val="Heading1"/>
      </w:pPr>
      <w:r>
        <w:t>1. 功能入口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  <w:tblHeader/>
        </w:trPr>
        <w:tc>
          <w:tcPr>
            <w:tcW w:type="dxa" w:w="2088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功能</w:t>
            </w:r>
          </w:p>
        </w:tc>
        <w:tc>
          <w:tcPr>
            <w:tcW w:type="dxa" w:w="3384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入口</w:t>
            </w:r>
          </w:p>
        </w:tc>
        <w:tc>
          <w:tcPr>
            <w:tcW w:type="dxa" w:w="4896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拓扑编辑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组件拖入、连线、双击参数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保存为 JSON 拓扑文件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仿真预检查</w:t>
            </w:r>
          </w:p>
        </w:tc>
        <w:tc>
          <w:tcPr>
            <w:tcW w:type="dxa" w:w="338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工具 &gt; 仿真预检查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错误、警告和执行层级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MATLAB 仿真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仿真 &gt; 设计仿真 / F5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节点输出、BER、SNR、分析图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参数扫描</w:t>
            </w:r>
          </w:p>
        </w:tc>
        <w:tc>
          <w:tcPr>
            <w:tcW w:type="dxa" w:w="338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仿真 &gt; 参数扫描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扫描数据、灵敏度和功率预算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MATLAB 诊断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工具 &gt; MATLAB 诊断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安装目录、Engine、版本和连接状态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外部组件</w:t>
            </w:r>
          </w:p>
        </w:tc>
        <w:tc>
          <w:tcPr>
            <w:tcW w:type="dxa" w:w="338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工具 &gt; 外部 MATLAB 组件向导</w:t>
            </w:r>
          </w:p>
        </w:tc>
        <w:tc>
          <w:tcPr>
            <w:tcW w:type="dxa" w:w="489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已配置的 MatlabFile 节点</w:t>
            </w:r>
          </w:p>
        </w:tc>
      </w:tr>
    </w:tbl>
    <w:p>
      <w:pPr>
        <w:spacing w:after="20"/>
      </w:pPr>
    </w:p>
    <w:p>
      <w:pPr>
        <w:pStyle w:val="Heading1"/>
      </w:pPr>
      <w:r>
        <w:t>2. 启动</w:t>
      </w:r>
    </w:p>
    <w:p>
      <w:pPr>
        <w:pStyle w:val="ListNumber"/>
        <w:spacing w:after="40"/>
      </w:pPr>
      <w:r>
        <w:t>启动 OpticalSystemGUI.exe 或运行 GUI/run_gui.py；初始化页显示当前状态和滚动加载条。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程序在 Windows 的 C:\Program Files\MATLAB\R* 或 macOS 的 /Applications/MATLAB_R*.app 中搜索 MATLAB，选择最高版本，并从该安装目录加载 MATLAB Engine。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等待状态栏显示 MATLAB Engine Status: Ready。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自动启动失败时：选择“是”手动指定 MATLAB 根目录；选择“否”进入离线模式。不要选择 bin 或 bin/win64。</w:t>
      </w:r>
    </w:p>
    <w:p>
      <w:pPr>
        <w:pStyle w:val="Heading1"/>
      </w:pPr>
      <w:r>
        <w:t>3. 离线模式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选择“工具 &gt; 离线模式”进入或退出。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离线模式可新建、打开、编辑、保存拓扑，也可运行仿真预检查。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离线模式不能运行 MATLAB 仿真；点击底部“连接 MATLAB 引擎”成功后自动退出离线模式。</w:t>
      </w:r>
    </w:p>
    <w:p>
      <w:pPr>
        <w:pStyle w:val="Heading1"/>
      </w:pPr>
      <w:r>
        <w:t>4. 建立并运行拓扑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将组件拖入工作区；选中节点或连线后按 Delete 或 Backspace 删除。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从输出端口拖到输入端口建立信号连接。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双击组件修改参数；双击空白处编辑全局参数。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选择“文件 &gt; 保存设计”。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按 F5；程序先执行预检查，通过后启动 MATLAB 仿真。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运行中按 Ctrl+F6 暂停、F6 恢复、Shift+F5 停止。暂停或停止在当前 MATLAB 调用结束后生效。</w:t>
      </w:r>
    </w:p>
    <w:p>
      <w:pPr>
        <w:pStyle w:val="Heading1"/>
      </w:pPr>
      <w:r>
        <w:t>5. 参数扫描与断点续跑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选择“仿真 &gt; 参数扫描”，添加组件、参数、起始值、终止值和步长。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同深度参数同步变化；不同深度参数组合扫描。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按 F5 开始扫描。每个完成点写入断点文件。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需要暂离时按 Ctrl+F6；返回后按 F6。需要结束程序时按 Shift+F5，之后重新打开同一拓扑并按 F5 自动续跑。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扫描完成后选择“仿真 &gt; 仿真结果”，点击“导出 CSV”或“导出 XLSX”。</w:t>
      </w: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  <w:tblHeader/>
        </w:trPr>
        <w:tc>
          <w:tcPr>
            <w:tcW w:type="dxa" w:w="1655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导出内容</w:t>
            </w:r>
          </w:p>
        </w:tc>
        <w:tc>
          <w:tcPr>
            <w:tcW w:type="dxa" w:w="8712"/>
            <w:vAlign w:val="center"/>
            <w:shd w:fill="D9EA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CSV 导出扫描数据；XLSX 分为 Summary、Sweep 和 PowerBudget 工作表。</w:t>
            </w:r>
          </w:p>
        </w:tc>
      </w:tr>
    </w:tbl>
    <w:p>
      <w:pPr>
        <w:spacing w:after="20"/>
      </w:pPr>
    </w:p>
    <w:p>
      <w:pPr>
        <w:pStyle w:val="Heading1"/>
      </w:pPr>
      <w:r>
        <w:t>6. 查看结果</w:t>
      </w:r>
    </w:p>
    <w:p>
      <w:pPr>
        <w:pStyle w:val="ListNumber"/>
      </w:pPr>
      <w:r>
        <w:t>运行时在“输出信息”中按编号查看组件状态，例如 ONURxDSP1；同类型组件按工作区节点顺序编号。</w:t>
      </w:r>
    </w:p>
    <w:tbl>
      <w:tblPr>
        <w:tblStyle w:val="TableGrid"/>
        <w:tblW w:type="dxa" w:w="10367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  <w:tblHeader/>
        </w:trPr>
        <w:tc>
          <w:tcPr>
            <w:tcW w:type="dxa" w:w="3384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结果</w:t>
            </w:r>
          </w:p>
        </w:tc>
        <w:tc>
          <w:tcPr>
            <w:tcW w:type="dxa" w:w="6983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操作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BER / SNR / 扫描 / 功率预算</w:t>
            </w:r>
          </w:p>
        </w:tc>
        <w:tc>
          <w:tcPr>
            <w:tcW w:type="dxa" w:w="6983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仿真 &gt; 仿真结果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光谱</w:t>
            </w:r>
          </w:p>
        </w:tc>
        <w:tc>
          <w:tcPr>
            <w:tcW w:type="dxa" w:w="6983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双击 O-Analyzer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频谱 / 波形 / 星座图</w:t>
            </w:r>
          </w:p>
        </w:tc>
        <w:tc>
          <w:tcPr>
            <w:tcW w:type="dxa" w:w="6983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双击 E-Analyzer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光功率</w:t>
            </w:r>
          </w:p>
        </w:tc>
        <w:tc>
          <w:tcPr>
            <w:tcW w:type="dxa" w:w="6983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双击 PowerMeter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执行日志</w:t>
            </w:r>
          </w:p>
        </w:tc>
        <w:tc>
          <w:tcPr>
            <w:tcW w:type="dxa" w:w="6983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查看底部输出区的 INFO、MATLAB 和 ERROR 信息</w:t>
            </w:r>
          </w:p>
        </w:tc>
      </w:tr>
    </w:tbl>
    <w:p>
      <w:pPr>
        <w:spacing w:after="20"/>
      </w:pPr>
    </w:p>
    <w:p>
      <w:pPr>
        <w:pStyle w:val="Heading1"/>
      </w:pPr>
      <w:r>
        <w:t>7. 外部 MATLAB 组件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选择“工具 &gt; 外部 MATLAB 组件向导”。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 .m 文件，检查自动读取的函数名和输出数量。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需要命名输入输出时填写调用表达式，例如 [out]=my_function(input)。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选择“确定”，将生成的 MatlabFile 节点连接到拓扑。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按 F5；预检查会验证文件、扩展名和函数名。</w:t>
      </w:r>
    </w:p>
    <w:p>
      <w:pPr>
        <w:pStyle w:val="Heading1"/>
      </w:pPr>
      <w:r>
        <w:t>8. MATLAB 诊断与连接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选择“工具 &gt; MATLAB 诊断”，点击“刷新”。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检查“首选 MATLAB”“Engine 可导入”“运行时版本”和“最近错误”。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点击“复制”后将诊断文本提供给维护人员。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连接或断开使用底部按钮；仿真运行期间按钮自动禁用。共享 MATLAB 会话只断开，不由本程序退出。</w:t>
      </w:r>
    </w:p>
    <w:p>
      <w:pPr>
        <w:pStyle w:val="ListNumber"/>
      </w:pPr>
      <w:r>
        <w:t>断开后可重新选择 MATLAB 根目录并再次连接，无需重启软件。</w:t>
      </w:r>
    </w:p>
    <w:p>
      <w:pPr>
        <w:pStyle w:val="Heading1"/>
      </w:pPr>
      <w:r>
        <w:t>9. 仿真可复现记录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每次成功仿真自动生成 JSON 记录。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已保存拓扑：记录位于拓扑同目录的 simulation_records 文件夹。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未保存拓扑：记录位于项目 simulation_records 文件夹。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1F2937"/>
          <w:sz w:val="18"/>
        </w:rPr>
        <w:t>记录包含完整拓扑、扫描设置、输出摘要、Python/MATLAB 版本、MATLAB 根目录和实测文件 SHA-256。</w:t>
      </w:r>
    </w:p>
    <w:p>
      <w:pPr>
        <w:pStyle w:val="ListBullet"/>
      </w:pPr>
      <w:r>
        <w:t>核对结果：打开记录，比较 topology_signature；签名一致表示拓扑、参数和扫描设置一致，再比较 outputs。</w:t>
      </w:r>
    </w:p>
    <w:p>
      <w:pPr>
        <w:pStyle w:val="ListBullet"/>
      </w:pPr>
      <w:r>
        <w:t>重新仿真：打开原设计 JSON，确认实测数据集仍存在且源文件 SHA-256 一致，在相同 MATLAB 环境运行；完成后比较新旧记录。</w:t>
      </w:r>
    </w:p>
    <w:p>
      <w:pPr>
        <w:pStyle w:val="ListBullet"/>
      </w:pPr>
      <w:r>
        <w:t>迁移到其他计算机时，同时复制设计 JSON 和 measurement_datasets 目录；记录文件不能单独替代实测数据集。</w:t>
      </w:r>
    </w:p>
    <w:p>
      <w:pPr>
        <w:pStyle w:val="Heading1"/>
      </w:pPr>
      <w:r>
        <w:t>10. 故障处理</w:t>
      </w:r>
    </w:p>
    <w:tbl>
      <w:tblPr>
        <w:tblStyle w:val="TableGrid"/>
        <w:tblW w:type="dxa" w:w="10368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  <w:tblHeader/>
        </w:trPr>
        <w:tc>
          <w:tcPr>
            <w:tcW w:type="dxa" w:w="2951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现象</w:t>
            </w:r>
          </w:p>
        </w:tc>
        <w:tc>
          <w:tcPr>
            <w:tcW w:type="dxa" w:w="7416"/>
            <w:vAlign w:val="center"/>
            <w:shd w:fill="1F4E79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操作</w:t>
            </w:r>
          </w:p>
        </w:tc>
      </w:tr>
      <w:tr>
        <w:trPr>
          <w:cantSplit/>
        </w:trPr>
        <w:tc>
          <w:tcPr>
            <w:tcW w:type="dxa" w:w="295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启动长时间停留在 MATLAB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等待首次冷启动；仍无响应时结束程序，单独启动一次 MATLAB 后重试。</w:t>
            </w:r>
          </w:p>
        </w:tc>
      </w:tr>
      <w:tr>
        <w:trPr>
          <w:cantSplit/>
        </w:trPr>
        <w:tc>
          <w:tcPr>
            <w:tcW w:type="dxa" w:w="2951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Unable to import matlab.engine</w:t>
            </w:r>
          </w:p>
        </w:tc>
        <w:tc>
          <w:tcPr>
            <w:tcW w:type="dxa" w:w="741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打开“MATLAB 诊断”确认 Engine 路径；从首选 MATLAB 的 extern/engines/python 安装与当前 Python 匹配的 Engine。</w:t>
            </w:r>
          </w:p>
        </w:tc>
      </w:tr>
      <w:tr>
        <w:trPr>
          <w:cantSplit/>
        </w:trPr>
        <w:tc>
          <w:tcPr>
            <w:tcW w:type="dxa" w:w="295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Engine 版本与目录不一致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手动选择匹配目录，或从目标 MATLAB 版本重新安装 Engine。</w:t>
            </w:r>
          </w:p>
        </w:tc>
      </w:tr>
      <w:tr>
        <w:trPr>
          <w:cantSplit/>
        </w:trPr>
        <w:tc>
          <w:tcPr>
            <w:tcW w:type="dxa" w:w="2951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预检查未通过</w:t>
            </w:r>
          </w:p>
        </w:tc>
        <w:tc>
          <w:tcPr>
            <w:tcW w:type="dxa" w:w="741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按错误项修复断线、环路、扫描范围或外部 .m 文件。</w:t>
            </w:r>
          </w:p>
        </w:tc>
      </w:tr>
      <w:tr>
        <w:trPr>
          <w:cantSplit/>
        </w:trPr>
        <w:tc>
          <w:tcPr>
            <w:tcW w:type="dxa" w:w="295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扫描未续跑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确认拓扑、参数和扫描设置未变化；变化后拓扑签名不同，将重新扫描。</w:t>
            </w:r>
          </w:p>
        </w:tc>
      </w:tr>
      <w:tr>
        <w:trPr>
          <w:cantSplit/>
        </w:trPr>
        <w:tc>
          <w:tcPr>
            <w:tcW w:type="dxa" w:w="2951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导出失败</w:t>
            </w:r>
          </w:p>
        </w:tc>
        <w:tc>
          <w:tcPr>
            <w:tcW w:type="dxa" w:w="7416"/>
            <w:vAlign w:val="center"/>
            <w:shd w:fill="F2F4F7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选择有写入权限的目录，并确认目标 CSV/XLSX 未被其他程序占用。</w:t>
            </w:r>
          </w:p>
        </w:tc>
      </w:tr>
      <w:tr>
        <w:trPr>
          <w:cantSplit/>
        </w:trPr>
        <w:tc>
          <w:tcPr>
            <w:tcW w:type="dxa" w:w="2951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MATLAB 内存持续增长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 w:eastAsia="Microsoft YaHei"/>
                <w:b w:val="0"/>
                <w:color w:val="1F2937"/>
                <w:sz w:val="16"/>
              </w:rPr>
              <w:t>减少扫描点和并行程序；完成后断开由本程序启动的 MATLAB 会话。</w:t>
            </w:r>
          </w:p>
        </w:tc>
      </w:tr>
    </w:tbl>
    <w:p>
      <w:pPr>
        <w:spacing w:after="20"/>
      </w:pPr>
    </w:p>
    <w:p>
      <w:pPr>
        <w:pStyle w:val="Heading1"/>
      </w:pPr>
      <w:r>
        <w:t>11. 导入并应用实测带宽</w:t>
      </w:r>
    </w:p>
    <w:p>
      <w:pPr>
        <w:pStyle w:val="ListNumber"/>
      </w:pPr>
      <w:r>
        <w:t>在工作区添加 Modulator 或 ICR，并完成原有参数设置。</w:t>
      </w:r>
    </w:p>
    <w:p>
      <w:pPr>
        <w:pStyle w:val="ListNumber"/>
      </w:pPr>
      <w:r>
        <w:t>双击 Modulator 或 ICR，在参数窗口的“带宽模型”区域单击“导入实测数据...”。</w:t>
      </w:r>
    </w:p>
    <w:p>
      <w:pPr>
        <w:pStyle w:val="ListNumber"/>
      </w:pPr>
      <w:r>
        <w:t>选择设备类型，按 XI、XQ、YI、YQ 顺序添加 4 个测试文件。调制器 BW_LOAD 文件默认使用频率列 1、响应列 3；接收机默认使用频率列 1、响应列 2；频率单位选择 GHz。</w:t>
      </w:r>
    </w:p>
    <w:p>
      <w:pPr>
        <w:pStyle w:val="ListNumber"/>
      </w:pPr>
      <w:r>
        <w:t>单击“读取并预览”；文件在后台读取，小进度条消失后检查四条实测曲线、原始 Bessel5 参考曲线、点数、频率范围和 -3 dB 带宽。</w:t>
      </w:r>
    </w:p>
    <w:p>
      <w:pPr>
        <w:pStyle w:val="ListNumber"/>
      </w:pPr>
      <w:r>
        <w:t>单击“确认导入”；返回组件参数窗口，选择“实测幅频响应”和新数据集，再单击“确定”。</w:t>
      </w:r>
    </w:p>
    <w:p>
      <w:pPr>
        <w:pStyle w:val="ListNumber"/>
      </w:pPr>
      <w:r>
        <w:t>选择“工具 &gt; 仿真预检查”；通过后按 F5 运行。</w:t>
      </w:r>
    </w:p>
    <w:p>
      <w:pPr>
        <w:pStyle w:val="Heading1"/>
      </w:pPr>
      <w:r>
        <w:t>12. 回退到原始参数</w:t>
      </w:r>
    </w:p>
    <w:p>
      <w:pPr>
        <w:pStyle w:val="ListNumber"/>
      </w:pPr>
      <w:r>
        <w:t>仅停用一个节点的实测响应：双击组件，选择“原始 Bessel5”并单击“确定”。</w:t>
      </w:r>
    </w:p>
    <w:p>
      <w:pPr>
        <w:pStyle w:val="ListNumber"/>
      </w:pPr>
      <w:r>
        <w:t>恢复一个节点的全部代码默认参数：单击“恢复该组件默认参数”。</w:t>
      </w:r>
    </w:p>
    <w:p>
      <w:pPr>
        <w:pStyle w:val="ListNumber"/>
      </w:pPr>
      <w:r>
        <w:t>恢复当前设计全部默认参数：选择“工具 &gt; 恢复全部默认参数”。</w:t>
      </w:r>
    </w:p>
    <w:p>
      <w:pPr>
        <w:pStyle w:val="ListNumber"/>
      </w:pPr>
      <w:r>
        <w:t>同时清除当前仿真结果和 MATLAB 工作区：选择“工具 &gt; 重置软件状态”。</w:t>
      </w:r>
    </w:p>
    <w:p>
      <w:r>
        <w:t>以上操作保留拓扑布局和已导入的数据集文件；删除数据集需在管理窗口单独执行。</w:t>
      </w:r>
    </w:p>
    <w:p>
      <w:pPr>
        <w:pStyle w:val="Heading1"/>
      </w:pPr>
      <w:r>
        <w:t>13. 重启与设计文件</w:t>
      </w:r>
    </w:p>
    <w:p>
      <w:pPr>
        <w:pStyle w:val="ListNumber"/>
      </w:pPr>
      <w:r>
        <w:t>每次启动软件或新建设计时，组件使用代码声明的默认参数和 IdealBessel 模型。</w:t>
      </w:r>
    </w:p>
    <w:p>
      <w:pPr>
        <w:pStyle w:val="ListNumber"/>
      </w:pPr>
      <w:r>
        <w:t>已导入数据集保留在数据集目录，但重启后不会自动应用。</w:t>
      </w:r>
    </w:p>
    <w:p>
      <w:pPr>
        <w:pStyle w:val="ListNumber"/>
      </w:pPr>
      <w:r>
        <w:t>需要恢复保存时的实测配置时，手动打开对应设计 JSON。</w:t>
      </w:r>
    </w:p>
    <w:p>
      <w:pPr>
        <w:pStyle w:val="ListNumber"/>
      </w:pPr>
      <w:r>
        <w:t>导入失败或取消时，当前参数、模型选择和数据集目录保持不变。</w:t>
      </w:r>
    </w:p>
    <w:p>
      <w:pPr>
        <w:pStyle w:val="Heading1"/>
      </w:pPr>
      <w:r>
        <w:t>14. 实测数据故障处理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402"/>
            <w:vAlign w:val="center"/>
          </w:tcPr>
          <w:p>
            <w:r>
              <w:t>提示</w:t>
            </w:r>
          </w:p>
        </w:tc>
        <w:tc>
          <w:tcPr>
            <w:tcW w:type="dxa" w:w="6350"/>
            <w:vAlign w:val="center"/>
          </w:tcPr>
          <w:p>
            <w:r>
              <w:t>处理</w:t>
            </w:r>
          </w:p>
        </w:tc>
      </w:tr>
      <w:tr>
        <w:tc>
          <w:tcPr>
            <w:tcW w:type="dxa" w:w="3402"/>
            <w:vAlign w:val="center"/>
          </w:tcPr>
          <w:p>
            <w:r>
              <w:t>有效点不足</w:t>
            </w:r>
          </w:p>
        </w:tc>
        <w:tc>
          <w:tcPr>
            <w:tcW w:type="dxa" w:w="6350"/>
            <w:vAlign w:val="center"/>
          </w:tcPr>
          <w:p>
            <w:r>
              <w:t>检查频率列、响应列、工作表首表和数字格式；每通道至少需要 2 个不同频率点。</w:t>
            </w:r>
          </w:p>
        </w:tc>
      </w:tr>
      <w:tr>
        <w:tc>
          <w:tcPr>
            <w:tcW w:type="dxa" w:w="3402"/>
            <w:vAlign w:val="center"/>
          </w:tcPr>
          <w:p>
            <w:r>
              <w:t>设备类型不匹配</w:t>
            </w:r>
          </w:p>
        </w:tc>
        <w:tc>
          <w:tcPr>
            <w:tcW w:type="dxa" w:w="6350"/>
            <w:vAlign w:val="center"/>
          </w:tcPr>
          <w:p>
            <w:r>
              <w:t>调制器节点选择 modulator 数据集；ICR 节点选择 receiver 数据集。</w:t>
            </w:r>
          </w:p>
        </w:tc>
      </w:tr>
      <w:tr>
        <w:tc>
          <w:tcPr>
            <w:tcW w:type="dxa" w:w="3402"/>
            <w:vAlign w:val="center"/>
          </w:tcPr>
          <w:p>
            <w:r>
              <w:t>数据集不可用</w:t>
            </w:r>
          </w:p>
        </w:tc>
        <w:tc>
          <w:tcPr>
            <w:tcW w:type="dxa" w:w="6350"/>
            <w:vAlign w:val="center"/>
          </w:tcPr>
          <w:p>
            <w:r>
              <w:t>在管理窗口确认数据集仍存在；重新导入后重新应用。</w:t>
            </w:r>
          </w:p>
        </w:tc>
      </w:tr>
      <w:tr>
        <w:tc>
          <w:tcPr>
            <w:tcW w:type="dxa" w:w="3402"/>
            <w:vAlign w:val="center"/>
          </w:tcPr>
          <w:p>
            <w:r>
              <w:t>-3 dB 未越过</w:t>
            </w:r>
          </w:p>
        </w:tc>
        <w:tc>
          <w:tcPr>
            <w:tcW w:type="dxa" w:w="6350"/>
            <w:vAlign w:val="center"/>
          </w:tcPr>
          <w:p>
            <w:r>
              <w:t>确认测试频率范围覆盖器件截止区；该数据仍可导入。</w:t>
            </w:r>
          </w:p>
        </w:tc>
      </w:tr>
      <w:tr>
        <w:tc>
          <w:tcPr>
            <w:tcW w:type="dxa" w:w="3402"/>
            <w:vAlign w:val="center"/>
          </w:tcPr>
          <w:p>
            <w:r>
              <w:t>删除按钮不可用</w:t>
            </w:r>
          </w:p>
        </w:tc>
        <w:tc>
          <w:tcPr>
            <w:tcW w:type="dxa" w:w="6350"/>
            <w:vAlign w:val="center"/>
          </w:tcPr>
          <w:p>
            <w:r>
              <w:t>先将引用该数据集的节点切回原始模型或更换数据集。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936" w:bottom="893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48B"/>
        <w:sz w:val="15"/>
      </w:rPr>
      <w:t>更新：2026-08-26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4748B"/>
        <w:sz w:val="16"/>
      </w:rPr>
      <w:t>Optical System GUI · 操作参考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2026-08-26T06:10:48Z</dcterms:modified>
  <cp:category/>
</cp:coreProperties>
</file>