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Microsoft YaHei" w:hAnsi="Microsoft YaHei" w:eastAsia="Microsoft YaHei"/>
          <w:b/>
          <w:color w:val="1F4E79"/>
          <w:sz w:val="44"/>
        </w:rPr>
        <w:t>参数手册</w:t>
      </w:r>
    </w:p>
    <w:p>
      <w:pPr>
        <w:spacing w:after="180"/>
      </w:pPr>
      <w:r>
        <w:rPr>
          <w:rFonts w:ascii="Microsoft YaHei" w:hAnsi="Microsoft YaHei" w:eastAsia="Microsoft YaHei"/>
          <w:b w:val="0"/>
          <w:color w:val="475569"/>
          <w:sz w:val="21"/>
        </w:rPr>
        <w:t>默认参数、全局引用、参数扫描与外部 MATLAB 组件</w:t>
      </w:r>
    </w:p>
    <w:p>
      <w:pPr>
        <w:pStyle w:val="Heading1"/>
      </w:pPr>
      <w:r>
        <w:t>1. 编辑组件参数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将组件拖入工作区，双击组件。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修改“值”；单位列只显示单位，不在值中重复输入单位。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布尔值使用 True / False；自动选择项使用 Auto。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选择“确定”，保存拓扑后参数写入 JSON 的 nodes[].params。</w:t>
      </w:r>
    </w:p>
    <w:p>
      <w:pPr>
        <w:pStyle w:val="Heading1"/>
      </w:pPr>
      <w:r>
        <w:t>2. 默认组件参数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1728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组件</w:t>
            </w:r>
          </w:p>
        </w:tc>
        <w:tc>
          <w:tcPr>
            <w:tcW w:type="dxa" w:w="2376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参数</w:t>
            </w:r>
          </w:p>
        </w:tc>
        <w:tc>
          <w:tcPr>
            <w:tcW w:type="dxa" w:w="1800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默认值</w:t>
            </w:r>
          </w:p>
        </w:tc>
        <w:tc>
          <w:tcPr>
            <w:tcW w:type="dxa" w:w="4464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功能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DAC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ElectricalBandwidth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32 GHz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电带宽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DAC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Resolution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8 bit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量化位数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Driver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Gain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2 dB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驱动器增益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Driver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NF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4 dB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噪声系数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Modulator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Vpi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3 V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半波电压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Modulator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Bandwidth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35 GHz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调制器电带宽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LaserCW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Power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13 dBm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平均输出光功率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LaserCW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TransmitFrequency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193.1 THz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发射频率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LaserCW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Linewidth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100 kHz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激光线宽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LaserCW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RIN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-150 dB/Hz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相对强度噪声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LO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Power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13 dBm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本振光功率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LO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Linewidth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100 kHz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本振线宽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LO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FreqOffset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0.5 GHz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本振频偏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LO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Phase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 deg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初始相位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LO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RIN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-150 dB/Hz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相对强度噪声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Combiner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Enabled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True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是否启用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Combiner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Comment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—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VOA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Mode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OutputPower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工作模式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VOA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OutputPower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 dBm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VOA的输出功率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VOA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Attenuation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 dB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衰减量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OA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Mode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OutputPower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工作模式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OA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OutputPower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 dBm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EDFA 输出功率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OA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Gain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 dB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光放大器增益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OA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NF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4 dB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噪声系数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EDFA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Mode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OutputPower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工作模式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EDFA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OutputPower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 dBm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EDFA 输出功率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EDFA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Gain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 dB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光放大器增益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EDFA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NF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4 dB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噪声系数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Fiber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Length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20 km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光纤长度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Fiber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Attenuation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0.2 dB/km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插损/衰减系数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Fiber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Dispersion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16.7 ps/nm/km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色散参数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Fiber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Nonlinearity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1.3 1/W/km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非线性系数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ICR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Bandwidth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25 GHz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接收机带宽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ICR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Responsivity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0.6 A/W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探测器响应度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ICR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ThermalNoise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True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启用热噪声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ICR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ShotNoise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True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启用散粒噪声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ICR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DarkCurrent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10 nA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暗电流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TIA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Bandwidth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35 GHz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TIA 带宽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TIA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Gain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2000 Ohm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跨阻增益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ADC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Bandwidth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59 GHz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ADC 模拟带宽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ADC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Resolution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10 bit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量化位数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ADC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SamplingRate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256 GSa/s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采样率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OLTTxDSP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TransmitFrequency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193.1 THz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发射频率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OLTTxDSP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BaudRate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6.25 GBaud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每子载波波特率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OLTTxDSP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Modulation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16QAM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调制格式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OLTTxDSP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SymbolNumber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32768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符号数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OLTTxDSP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NumBands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发端子载波数量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ONUTxDSP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TransmitFrequency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193.1 THz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发射频率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ONUTxDSP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BaudRate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25 GBaud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上行 burst 波特率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ONUTxDSP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Modulation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QPSK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调制格式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ONUTxDSP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SymbolNumber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32768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符号数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ONUTxDSP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NumBands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Auto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ONU数（由ONUTxDSP数量统计）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ONURxDSP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Modulation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16QAM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调制格式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ONURxDSP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CD_Compensation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True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色散补偿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ONURxDSP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Adaptive_EQ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True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自适应均衡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OLTRxDSP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Modulation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QPSK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调制格式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OLTRxDSP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CD_Compensation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True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色散补偿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OLTRxDSP</w:t>
            </w:r>
          </w:p>
        </w:tc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Adaptive_EQ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True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自适应均衡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OLTRxDSP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TargetONU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Auto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上行目标 ONU 时隙</w:t>
            </w:r>
          </w:p>
        </w:tc>
      </w:tr>
    </w:tbl>
    <w:p>
      <w:pPr>
        <w:spacing w:after="20"/>
      </w:pPr>
    </w:p>
    <w:tbl>
      <w:tblPr>
        <w:tblStyle w:val="TableGrid"/>
        <w:tblW w:type="dxa" w:w="10367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1655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无编辑项</w:t>
            </w:r>
          </w:p>
        </w:tc>
        <w:tc>
          <w:tcPr>
            <w:tcW w:type="dxa" w:w="8712"/>
            <w:vAlign w:val="center"/>
            <w:shd w:fill="D9EA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Splitter、Pol_Rot、O/E-Analyzer、PowerMeter 当前不提供组件参数。</w:t>
            </w:r>
          </w:p>
        </w:tc>
      </w:tr>
    </w:tbl>
    <w:p>
      <w:pPr>
        <w:spacing w:after="20"/>
      </w:pPr>
    </w:p>
    <w:p>
      <w:pPr>
        <w:pStyle w:val="Heading1"/>
      </w:pPr>
      <w:r>
        <w:t>3. 全局参数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双击工作区空白处，打开“编辑全局参数”。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添加名称、值、单位和说明。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在组件参数值中填写 $名称 或 {名称}。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运行时先解析 global_params，再传入 MATLAB 组件。</w:t>
      </w:r>
    </w:p>
    <w:tbl>
      <w:tblPr>
        <w:tblStyle w:val="TableGrid"/>
        <w:tblW w:type="dxa" w:w="10367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1655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示例</w:t>
            </w:r>
          </w:p>
        </w:tc>
        <w:tc>
          <w:tcPr>
            <w:tcW w:type="dxa" w:w="8712"/>
            <w:vAlign w:val="center"/>
            <w:shd w:fill="D9EA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全局参数 LaunchPower=3；LaserCW.Power 填写 $LaunchPower。</w:t>
            </w:r>
          </w:p>
        </w:tc>
      </w:tr>
    </w:tbl>
    <w:p>
      <w:pPr>
        <w:spacing w:after="20"/>
      </w:pPr>
    </w:p>
    <w:p>
      <w:pPr>
        <w:pStyle w:val="Heading1"/>
      </w:pPr>
      <w:r>
        <w:t>4. 参数扫描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选择“仿真 &gt; 参数扫描”，添加扫描项。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2232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8136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填写规则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启用</w:t>
            </w:r>
          </w:p>
        </w:tc>
        <w:tc>
          <w:tcPr>
            <w:tcW w:type="dxa" w:w="813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仅运行已勾选的扫描项。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深度</w:t>
            </w:r>
          </w:p>
        </w:tc>
        <w:tc>
          <w:tcPr>
            <w:tcW w:type="dxa" w:w="813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同深度参数同步变化；不同深度参数做组合扫描。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组件 / 参数</w:t>
            </w:r>
          </w:p>
        </w:tc>
        <w:tc>
          <w:tcPr>
            <w:tcW w:type="dxa" w:w="813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选择当前拓扑中的节点及其参数。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起始 / 终止 / 步长</w:t>
            </w:r>
          </w:p>
        </w:tc>
        <w:tc>
          <w:tcPr>
            <w:tcW w:type="dxa" w:w="813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填写数值；步长不能为 0，方向与范围自动匹配。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单位</w:t>
            </w:r>
          </w:p>
        </w:tc>
        <w:tc>
          <w:tcPr>
            <w:tcW w:type="dxa" w:w="813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从组件参数读取。</w:t>
            </w:r>
          </w:p>
        </w:tc>
      </w:tr>
    </w:tbl>
    <w:p>
      <w:pPr>
        <w:spacing w:after="20"/>
      </w:pP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按 F5 运行；Ctrl+F6 请求暂停，F6 恢复，Shift+F5 停止。暂停在当前 MATLAB 调用结束后生效。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停止或异常后再次运行同一拓扑，自动读取匹配的断点文件并跳过已完成扫描点。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打开“仿真 &gt; 仿真结果”，选择“导出 CSV”或“导出 XLSX”。XLSX 包含 Summary、Sweep 和 PowerBudget 工作表。</w:t>
      </w:r>
    </w:p>
    <w:tbl>
      <w:tblPr>
        <w:tblStyle w:val="TableGrid"/>
        <w:tblW w:type="dxa" w:w="10367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1655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扫描优化</w:t>
            </w:r>
          </w:p>
        </w:tc>
        <w:tc>
          <w:tcPr>
            <w:tcW w:type="dxa" w:w="8712"/>
            <w:vAlign w:val="center"/>
            <w:shd w:fill="D9EA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首个扫描点计算完整拓扑；后续扫描点复用不受扫描参数影响的节点输出。扫描完成后自动删除断点文件。</w:t>
            </w:r>
          </w:p>
        </w:tc>
      </w:tr>
    </w:tbl>
    <w:p>
      <w:pPr>
        <w:spacing w:after="20"/>
      </w:pPr>
    </w:p>
    <w:p>
      <w:pPr>
        <w:pStyle w:val="Heading1"/>
      </w:pPr>
      <w:r>
        <w:t>5. 扫描断点文件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2088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设计状态</w:t>
            </w:r>
          </w:p>
        </w:tc>
        <w:tc>
          <w:tcPr>
            <w:tcW w:type="dxa" w:w="8280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断点位置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已保存拓扑</w:t>
            </w:r>
          </w:p>
        </w:tc>
        <w:tc>
          <w:tcPr>
            <w:tcW w:type="dxa" w:w="828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与拓扑文件同目录：&lt;拓扑名&gt;.sweep-checkpoint.json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未保存拓扑</w:t>
            </w:r>
          </w:p>
        </w:tc>
        <w:tc>
          <w:tcPr>
            <w:tcW w:type="dxa" w:w="828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系统临时目录/OpticalSystemGUI/sweep_checkpoints/&lt;拓扑签名&gt;.json</w:t>
            </w:r>
          </w:p>
        </w:tc>
      </w:tr>
    </w:tbl>
    <w:p>
      <w:pPr>
        <w:spacing w:after="20"/>
      </w:pP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3240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7128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功能</w:t>
            </w:r>
          </w:p>
        </w:tc>
      </w:tr>
      <w:tr>
        <w:trPr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topology_signature</w:t>
            </w:r>
          </w:p>
        </w:tc>
        <w:tc>
          <w:tcPr>
            <w:tcW w:type="dxa" w:w="71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匹配拓扑、参数和扫描设置。</w:t>
            </w:r>
          </w:p>
        </w:tc>
      </w:tr>
      <w:tr>
        <w:trPr>
          <w:cantSplit/>
        </w:trPr>
        <w:tc>
          <w:tcPr>
            <w:tcW w:type="dxa" w:w="324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completed_points / total_points</w:t>
            </w:r>
          </w:p>
        </w:tc>
        <w:tc>
          <w:tcPr>
            <w:tcW w:type="dxa" w:w="712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记录已完成点数和总点数。</w:t>
            </w:r>
          </w:p>
        </w:tc>
      </w:tr>
      <w:tr>
        <w:trPr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rows</w:t>
            </w:r>
          </w:p>
        </w:tc>
        <w:tc>
          <w:tcPr>
            <w:tcW w:type="dxa" w:w="712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保存已完成扫描点的 BER、SNR、功率和扫描值。</w:t>
            </w:r>
          </w:p>
        </w:tc>
      </w:tr>
    </w:tbl>
    <w:p>
      <w:pPr>
        <w:spacing w:after="20"/>
      </w:pPr>
    </w:p>
    <w:p>
      <w:pPr>
        <w:pStyle w:val="Heading1"/>
      </w:pPr>
      <w:r>
        <w:t>6. MatlabFile 外部组件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</w:trPr>
        <w:tc>
          <w:tcPr>
            <w:tcW w:type="dxa" w:w="2160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参数</w:t>
            </w:r>
          </w:p>
        </w:tc>
        <w:tc>
          <w:tcPr>
            <w:tcW w:type="dxa" w:w="1440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默认值</w:t>
            </w:r>
          </w:p>
        </w:tc>
        <w:tc>
          <w:tcPr>
            <w:tcW w:type="dxa" w:w="6768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功能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MatlabFile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—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外部 .m 文件完整路径。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FunctionName</w:t>
            </w:r>
          </w:p>
        </w:tc>
        <w:tc>
          <w:tcPr>
            <w:tcW w:type="dxa" w:w="144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—</w:t>
            </w:r>
          </w:p>
        </w:tc>
        <w:tc>
          <w:tcPr>
            <w:tcW w:type="dxa" w:w="676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函数名或 [out_a,out_b]=my_function(arg_a,arg_b)。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AddToPath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True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运行前将 .m 文件目录加入 MATLAB 路径。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Nargout</w:t>
            </w:r>
          </w:p>
        </w:tc>
        <w:tc>
          <w:tcPr>
            <w:tcW w:type="dxa" w:w="1440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676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简单函数名模式的输出数量。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MergeOutput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True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struct 输出字段合并到节点工作区。</w:t>
            </w:r>
          </w:p>
        </w:tc>
      </w:tr>
    </w:tbl>
    <w:p>
      <w:pPr>
        <w:spacing w:after="20"/>
      </w:pP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选择“工具 &gt; 外部 MATLAB 组件向导”。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选择 .m 文件；向导读取 function 声明并填写函数名和输出数量。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确认调用表达式、AddToPath、Nargout 和 MergeOutput，选择“确定”创建节点。</w:t>
      </w:r>
    </w:p>
    <w:tbl>
      <w:tblPr>
        <w:tblStyle w:val="TableGrid"/>
        <w:tblW w:type="dxa" w:w="10367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1655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函数一致性</w:t>
            </w:r>
          </w:p>
        </w:tc>
        <w:tc>
          <w:tcPr>
            <w:tcW w:type="dxa" w:w="8712"/>
            <w:vAlign w:val="center"/>
            <w:shd w:fill="D9EA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FunctionName 中的函数名必须与 .m 文件的 function 声明一致。</w:t>
            </w:r>
          </w:p>
        </w:tc>
      </w:tr>
    </w:tbl>
    <w:p>
      <w:pPr>
        <w:spacing w:after="20"/>
      </w:pPr>
    </w:p>
    <w:p>
      <w:pPr>
        <w:pStyle w:val="Heading1"/>
      </w:pPr>
      <w:r>
        <w:t>7. MATLAB 与仿真记录</w:t>
      </w:r>
    </w:p>
    <w:tbl>
      <w:tblPr>
        <w:tblStyle w:val="TableGrid"/>
        <w:tblW w:type="dxa" w:w="10367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2376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项目</w:t>
            </w:r>
          </w:p>
        </w:tc>
        <w:tc>
          <w:tcPr>
            <w:tcW w:type="dxa" w:w="7992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位置 / 字段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MATLAB 选择记录</w:t>
            </w:r>
          </w:p>
        </w:tc>
        <w:tc>
          <w:tcPr>
            <w:tcW w:type="dxa" w:w="7992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Windows: %APPDATA%\OpticalSystemGUI\matlab_engine.json；macOS: ~/Library/Application Support/OpticalSystemGUI/matlab_engine.json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自动发现</w:t>
            </w:r>
          </w:p>
        </w:tc>
        <w:tc>
          <w:tcPr>
            <w:tcW w:type="dxa" w:w="7992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Windows: C:\Program Files\MATLAB\R*；macOS: /Applications/MATLAB_R*.app；按 RYYYYa/RYYYYb 选择最高版本。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仿真可复现记录</w:t>
            </w:r>
          </w:p>
        </w:tc>
        <w:tc>
          <w:tcPr>
            <w:tcW w:type="dxa" w:w="7992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已保存拓扑：同目录 simulation_records；未保存拓扑：项目 simulation_records。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记录字段</w:t>
            </w:r>
          </w:p>
        </w:tc>
        <w:tc>
          <w:tcPr>
            <w:tcW w:type="dxa" w:w="7992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created_at、topology_signature、environment、topology、outputs。</w:t>
            </w:r>
          </w:p>
        </w:tc>
      </w:tr>
    </w:tbl>
    <w:p>
      <w:pPr>
        <w:spacing w:after="20"/>
      </w:pPr>
    </w:p>
    <w:p>
      <w:pPr>
        <w:pStyle w:val="Heading1"/>
      </w:pPr>
      <w:r>
        <w:t>8. 仿真预检查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检查空拓扑、缺失节点、无效连接和有向环。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检查组件到 MATLAB 函数的映射。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检查 MatlabFile 文件、扩展名和函数名。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检查启用扫描项的节点、参数、范围和非零步长。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936" w:bottom="893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48B"/>
        <w:sz w:val="15"/>
      </w:rPr>
      <w:t>更新：2026-08-26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4748B"/>
        <w:sz w:val="16"/>
      </w:rPr>
      <w:t>Optical System GUI · 操作参考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