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44"/>
        </w:rPr>
        <w:t>普通用户运行说明</w:t>
      </w:r>
    </w:p>
    <w:p>
      <w:pPr>
        <w:spacing w:after="180"/>
      </w:pPr>
      <w:r>
        <w:rPr>
          <w:rFonts w:ascii="Microsoft YaHei" w:hAnsi="Microsoft YaHei" w:eastAsia="Microsoft YaHei"/>
          <w:b w:val="0"/>
          <w:color w:val="475569"/>
          <w:sz w:val="21"/>
        </w:rPr>
        <w:t>Windows / macOS 启动、建模、仿真与结果导出</w:t>
      </w:r>
    </w:p>
    <w:p>
      <w:pPr>
        <w:pStyle w:val="Heading1"/>
      </w:pPr>
      <w:r>
        <w:t>1. 功能入口</w:t>
      </w:r>
    </w:p>
    <w:tbl>
      <w:tblPr>
        <w:tblStyle w:val="TableGrid"/>
        <w:tblW w:type="dxa" w:w="10368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/>
        </w:trPr>
        <w:tc>
          <w:tcPr>
            <w:tcW w:type="dxa" w:w="2088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384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拓扑编辑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组件拖入、连线、双击参数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保存为 JSON 拓扑文件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仿真预检查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工具 &gt; 仿真预检查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错误、警告和执行层级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MATLAB 仿真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仿真 &gt; 设计仿真 / F5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节点输出、BER、SNR、分析图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参数扫描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仿真 &gt; 参数扫描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扫描数据、灵敏度和功率预算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MATLAB 诊断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工具 &gt; MATLAB 诊断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安装目录、Engine、版本和连接状态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外部组件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工具 &gt; 外部 MATLAB 组件向导</w:t>
            </w:r>
          </w:p>
        </w:tc>
        <w:tc>
          <w:tcPr>
            <w:tcW w:type="dxa" w:w="489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已配置的 MatlabFile 节点</w:t>
            </w:r>
          </w:p>
        </w:tc>
      </w:tr>
    </w:tbl>
    <w:p>
      <w:pPr>
        <w:spacing w:after="20"/>
      </w:pPr>
    </w:p>
    <w:p>
      <w:pPr>
        <w:pStyle w:val="Heading1"/>
      </w:pPr>
      <w:r>
        <w:t>2. 启动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启动 OpticalSystemGUI.exe 或运行 GUI/run_gui.py。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程序在 Windows 的 C:\Program Files\MATLAB\R* 或 macOS 的 /Applications/MATLAB_R*.app 中搜索 MATLAB，并选择最高版本。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等待状态栏显示 MATLAB Engine Status: Ready。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自动启动失败时：选择“是”手动指定 MATLAB 根目录；选择“否”进入离线模式。不要选择 bin 或 bin/win64。</w:t>
      </w:r>
    </w:p>
    <w:p>
      <w:pPr>
        <w:pStyle w:val="Heading1"/>
      </w:pPr>
      <w:r>
        <w:t>3. 离线模式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选择“工具 &gt; 离线模式”进入或退出。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离线模式可新建、打开、编辑、保存拓扑，也可运行仿真预检查。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离线模式不能运行 MATLAB 仿真；点击底部“连接 MATLAB 引擎”成功后自动退出离线模式。</w:t>
      </w:r>
    </w:p>
    <w:p>
      <w:pPr>
        <w:pStyle w:val="Heading1"/>
      </w:pPr>
      <w:r>
        <w:t>4. 建立并运行拓扑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将组件拖入工作区。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从输出端口拖到输入端口建立信号连接。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双击组件修改参数；双击空白处编辑全局参数。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选择“文件 &gt; 保存设计”。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按 F5；程序先执行预检查，通过后启动 MATLAB 仿真。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运行中按 Ctrl+F6 暂停、F6 恢复、Shift+F5 停止。暂停或停止在当前 MATLAB 调用结束后生效。</w:t>
      </w:r>
    </w:p>
    <w:p>
      <w:pPr>
        <w:pStyle w:val="Heading1"/>
      </w:pPr>
      <w:r>
        <w:t>5. 参数扫描与断点续跑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选择“仿真 &gt; 参数扫描”，添加组件、参数、起始值、终止值和步长。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同深度参数同步变化；不同深度参数组合扫描。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按 F5 开始扫描。每个完成点写入断点文件。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需要暂离时按 Ctrl+F6；返回后按 F6。需要结束程序时按 Shift+F5，之后重新打开同一拓扑并按 F5 自动续跑。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扫描完成后选择“仿真 &gt; 仿真结果”，点击“导出 CSV”或“导出 XLSX”。</w:t>
      </w:r>
    </w:p>
    <w:tbl>
      <w:tblPr>
        <w:tblStyle w:val="TableGrid"/>
        <w:tblW w:type="dxa" w:w="10367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1655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导出内容</w:t>
            </w:r>
          </w:p>
        </w:tc>
        <w:tc>
          <w:tcPr>
            <w:tcW w:type="dxa" w:w="87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CSV 导出扫描数据；XLSX 分为 Summary、Sweep 和 PowerBudget 工作表。</w:t>
            </w:r>
          </w:p>
        </w:tc>
      </w:tr>
    </w:tbl>
    <w:p>
      <w:pPr>
        <w:spacing w:after="20"/>
      </w:pPr>
    </w:p>
    <w:p>
      <w:pPr>
        <w:pStyle w:val="Heading1"/>
      </w:pPr>
      <w:r>
        <w:t>6. 查看结果</w:t>
      </w:r>
    </w:p>
    <w:tbl>
      <w:tblPr>
        <w:tblStyle w:val="TableGrid"/>
        <w:tblW w:type="dxa" w:w="10367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3384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6983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操作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BER / SNR / 扫描 / 功率预算</w:t>
            </w:r>
          </w:p>
        </w:tc>
        <w:tc>
          <w:tcPr>
            <w:tcW w:type="dxa" w:w="698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仿真 &gt; 仿真结果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光谱</w:t>
            </w:r>
          </w:p>
        </w:tc>
        <w:tc>
          <w:tcPr>
            <w:tcW w:type="dxa" w:w="6983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双击 O-Analyzer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频谱 / 波形 / 星座图</w:t>
            </w:r>
          </w:p>
        </w:tc>
        <w:tc>
          <w:tcPr>
            <w:tcW w:type="dxa" w:w="698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双击 E-Analyzer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光功率</w:t>
            </w:r>
          </w:p>
        </w:tc>
        <w:tc>
          <w:tcPr>
            <w:tcW w:type="dxa" w:w="6983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双击 PowerMeter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执行日志</w:t>
            </w:r>
          </w:p>
        </w:tc>
        <w:tc>
          <w:tcPr>
            <w:tcW w:type="dxa" w:w="6983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查看底部输出区的 INFO、MATLAB 和 ERROR 信息</w:t>
            </w:r>
          </w:p>
        </w:tc>
      </w:tr>
    </w:tbl>
    <w:p>
      <w:pPr>
        <w:spacing w:after="20"/>
      </w:pPr>
    </w:p>
    <w:p>
      <w:pPr>
        <w:pStyle w:val="Heading1"/>
      </w:pPr>
      <w:r>
        <w:t>7. 外部 MATLAB 组件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选择“工具 &gt; 外部 MATLAB 组件向导”。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 .m 文件，检查自动读取的函数名和输出数量。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需要命名输入输出时填写调用表达式，例如 [out]=my_function(input)。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选择“确定”，将生成的 MatlabFile 节点连接到拓扑。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按 F5；预检查会验证文件、扩展名和函数名。</w:t>
      </w:r>
    </w:p>
    <w:p>
      <w:pPr>
        <w:pStyle w:val="Heading1"/>
      </w:pPr>
      <w:r>
        <w:t>8. MATLAB 诊断与连接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选择“工具 &gt; MATLAB 诊断”，点击“刷新”。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检查“首选 MATLAB”“Engine 可导入”“运行时版本”和“最近错误”。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点击“复制”后将诊断文本提供给维护人员。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连接或断开使用底部按钮；仿真运行期间按钮自动禁用。共享 MATLAB 会话只断开，不由本程序退出。</w:t>
      </w:r>
    </w:p>
    <w:p>
      <w:pPr>
        <w:pStyle w:val="Heading1"/>
      </w:pPr>
      <w:r>
        <w:t>9. 仿真可复现记录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每次成功仿真自动生成 JSON 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已保存拓扑：记录位于拓扑同目录的 simulation_records 文件夹。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未保存拓扑：记录位于项目 simulation_records 文件夹。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记录包含完整拓扑、扫描设置、输出摘要、Python/MATLAB 版本和 MATLAB 根目录。</w:t>
      </w:r>
    </w:p>
    <w:p>
      <w:pPr>
        <w:pStyle w:val="Heading1"/>
      </w:pPr>
      <w:r>
        <w:t>10. 故障处理</w:t>
      </w:r>
    </w:p>
    <w:tbl>
      <w:tblPr>
        <w:tblStyle w:val="TableGrid"/>
        <w:tblW w:type="dxa" w:w="10368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/>
        </w:trPr>
        <w:tc>
          <w:tcPr>
            <w:tcW w:type="dxa" w:w="2951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7416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操作</w:t>
            </w:r>
          </w:p>
        </w:tc>
      </w:tr>
      <w:tr>
        <w:trPr>
          <w:cantSplit/>
        </w:trPr>
        <w:tc>
          <w:tcPr>
            <w:tcW w:type="dxa" w:w="295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启动长时间停留在 MATLAB</w:t>
            </w:r>
          </w:p>
        </w:tc>
        <w:tc>
          <w:tcPr>
            <w:tcW w:type="dxa" w:w="741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等待首次冷启动；仍无响应时结束程序，单独启动一次 MATLAB 后重试。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Unable to import matlab.engine</w:t>
            </w:r>
          </w:p>
        </w:tc>
        <w:tc>
          <w:tcPr>
            <w:tcW w:type="dxa" w:w="741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打开“MATLAB 诊断”确认 Engine 路径；从首选 MATLAB 的 extern/engines/python 安装与当前 Python 匹配的 Engine。</w:t>
            </w:r>
          </w:p>
        </w:tc>
      </w:tr>
      <w:tr>
        <w:trPr>
          <w:cantSplit/>
        </w:trPr>
        <w:tc>
          <w:tcPr>
            <w:tcW w:type="dxa" w:w="295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Engine 版本与目录不一致</w:t>
            </w:r>
          </w:p>
        </w:tc>
        <w:tc>
          <w:tcPr>
            <w:tcW w:type="dxa" w:w="741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手动选择匹配目录，或从目标 MATLAB 版本重新安装 Engine。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预检查未通过</w:t>
            </w:r>
          </w:p>
        </w:tc>
        <w:tc>
          <w:tcPr>
            <w:tcW w:type="dxa" w:w="741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按错误项修复断线、环路、扫描范围或外部 .m 文件。</w:t>
            </w:r>
          </w:p>
        </w:tc>
      </w:tr>
      <w:tr>
        <w:trPr>
          <w:cantSplit/>
        </w:trPr>
        <w:tc>
          <w:tcPr>
            <w:tcW w:type="dxa" w:w="295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扫描未续跑</w:t>
            </w:r>
          </w:p>
        </w:tc>
        <w:tc>
          <w:tcPr>
            <w:tcW w:type="dxa" w:w="741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确认拓扑、参数和扫描设置未变化；变化后拓扑签名不同，将重新扫描。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导出失败</w:t>
            </w:r>
          </w:p>
        </w:tc>
        <w:tc>
          <w:tcPr>
            <w:tcW w:type="dxa" w:w="741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选择有写入权限的目录，并确认目标 CSV/XLSX 未被其他程序占用。</w:t>
            </w:r>
          </w:p>
        </w:tc>
      </w:tr>
      <w:tr>
        <w:trPr>
          <w:cantSplit/>
        </w:trPr>
        <w:tc>
          <w:tcPr>
            <w:tcW w:type="dxa" w:w="295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MATLAB 内存持续增长</w:t>
            </w:r>
          </w:p>
        </w:tc>
        <w:tc>
          <w:tcPr>
            <w:tcW w:type="dxa" w:w="741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减少扫描点和并行程序；完成后断开由本程序启动的 MATLAB 会话。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5"/>
      </w:rPr>
      <w:t>更新：2026-08-26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4748B"/>
        <w:sz w:val="16"/>
      </w:rPr>
      <w:t>Optical System GUI · 操作参考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