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多维复用超高速光接入端到端系统仿真平台</w:t>
      </w:r>
    </w:p>
    <w:p>
      <w:pPr>
        <w:spacing w:before="0" w:after="240" w:line="264" w:lineRule="auto"/>
        <w:jc w:val="center"/>
      </w:pPr>
      <w:r>
        <w:rPr>
          <w:rFonts w:ascii="Microsoft YaHei" w:hAnsi="Microsoft YaHei" w:eastAsia="Microsoft YaHei"/>
          <w:color w:val="595959"/>
          <w:sz w:val="26"/>
        </w:rPr>
        <w:t>普通用户 Windows 运行说明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40" w:line="276" w:lineRule="auto"/>
            </w:pPr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阅读对象</w:t>
            </w:r>
          </w:p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sz w:val="21"/>
              </w:rPr>
              <w:t>本说明面向只需要运行软件的普通用户，不包含源码修改、Python 环境配置或重新打包步骤。</w:t>
            </w:r>
          </w:p>
        </w:tc>
      </w:tr>
    </w:tbl>
    <w:p/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1. 运行前准备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在新的 Windows 电脑上运行软件前，请先确认以下内容：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电脑已安装 MATLAB，建议使用与发布方一致或接近的版本，例如 MATLAB R2024b。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MATLAB 可以单独正常启动，并且授权状态正常。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已收到完整的软件文件夹，而不是单独的 exe 文件。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如果电脑上安装了多个 MATLAB 版本，首次启动时请选择需要用于仿真的版本。</w:t>
      </w:r>
    </w:p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2. 应收到哪些文件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发布方应提供整个软件文件夹，通常名称如下：</w:t>
      </w:r>
    </w:p>
    <w:p>
      <w:pPr>
        <w:spacing w:before="40" w:after="120" w:line="276" w:lineRule="auto"/>
        <w:ind w:left="288"/>
      </w:pPr>
      <w:r>
        <w:rPr>
          <w:rFonts w:ascii="Consolas" w:hAnsi="Consolas"/>
          <w:color w:val="404040"/>
          <w:sz w:val="20"/>
        </w:rPr>
        <w:t>OpticalSystemGUI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该文件夹中至少应包含以下内容：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192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文件/文件夹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用途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OpticalSystemGUI.exe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软件主程序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_internal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Python、PyQt、Matplotlib、MATLAB Engine 等运行依赖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PON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MATLAB 仿真代码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icon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GUI 中使用的组件图标</w:t>
            </w:r>
          </w:p>
        </w:tc>
      </w:tr>
    </w:tbl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注意：不要只复制或发送 OpticalSystemGUI.exe，否则软件可能无法启动或无法运行仿真。</w:t>
      </w:r>
    </w:p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3. 首次运行步骤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将整个 OpticalSystemGUI 文件夹复制到电脑上的任意位置，例如桌面或 D 盘。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打开该文件夹，双击 OpticalSystemGUI.exe。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如果系统弹出安全提示，请确认该程序来源可信后选择继续运行。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软件启动时会尝试连接 MATLAB 引擎，请等待初始化窗口完成。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如果软件提示选择 MATLAB 路径，请选择 MATLAB 根目录。</w:t>
      </w:r>
    </w:p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4. MATLAB 路径如何选择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请选择 MATLAB 的安装根目录，例如：</w:t>
      </w:r>
    </w:p>
    <w:p>
      <w:pPr>
        <w:spacing w:before="40" w:after="120" w:line="276" w:lineRule="auto"/>
        <w:ind w:left="288"/>
      </w:pPr>
      <w:r>
        <w:rPr>
          <w:rFonts w:ascii="Consolas" w:hAnsi="Consolas"/>
          <w:color w:val="404040"/>
          <w:sz w:val="20"/>
        </w:rPr>
        <w:t>C:\Program Files\MATLAB\R2024b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不要选择 MATLAB 的 bin 目录，例如以下路径不推荐：</w:t>
      </w:r>
    </w:p>
    <w:p>
      <w:pPr>
        <w:spacing w:before="40" w:after="120" w:line="276" w:lineRule="auto"/>
        <w:ind w:left="288"/>
      </w:pPr>
      <w:r>
        <w:rPr>
          <w:rFonts w:ascii="Consolas" w:hAnsi="Consolas"/>
          <w:color w:val="404040"/>
          <w:sz w:val="20"/>
        </w:rPr>
        <w:t>C:\Program Files\MATLAB\R2024b\bin</w:t>
      </w:r>
    </w:p>
    <w:p>
      <w:pPr>
        <w:spacing w:before="40" w:after="120" w:line="276" w:lineRule="auto"/>
        <w:ind w:left="288"/>
      </w:pPr>
      <w:r>
        <w:rPr>
          <w:rFonts w:ascii="Consolas" w:hAnsi="Consolas"/>
          <w:color w:val="404040"/>
          <w:sz w:val="20"/>
        </w:rPr>
        <w:t>C:\Program Files\MATLAB\R2024b\bin\win64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选择完成后，软件会保存该设置。下次启动通常不需要重新选择。</w:t>
      </w:r>
    </w:p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5. 正常使用流程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启动软件并等待 MATLAB 引擎连接完成。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在左侧组件区选择需要的器件，并拖入工作区。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在工作区中连接各个组件，形成仿真拓扑。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双击组件可查看或修改组件参数。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点击运行仿真按钮开始仿真。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仿真完成后，可在仿真结果中查看 BER、SNR、功率预算、频谱、星座图等结果。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关闭软件时，软件会自动断开 MATLAB 引擎并清理资源。</w:t>
      </w:r>
    </w:p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6. 常见问题处理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现象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建议处理方式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软件提示无法连接 MATLAB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请先单独打开 MATLAB，确认 MATLAB 能正常启动并且授权有效。随后重新启动本软件。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提示选择 MATLAB 路径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请选择 MATLAB 根目录，例如 C:\Program Files\MATLAB\R2024b。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提示 Unable to import matlab.engine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这通常不是普通用户可以通过选择路径解决的问题，请联系发布方重新打包软件。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提示 No module named matlabengineforpython3_10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说明打包文件缺少 MATLAB Engine 组件，请联系发布方重新打包。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仿真运行很慢或内存占用较高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MATLAB 仿真可能占用较多内存。建议关闭其他大型程序，并避免同时运行多个仿真。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双击 exe 没有反应</w:t>
            </w:r>
          </w:p>
        </w:tc>
        <w:tc>
          <w:tcPr>
            <w:tcW w:type="dxa" w:w="6192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请确认收到的是完整 OpticalSystemGUI 文件夹，并尝试右键以管理员身份运行；如仍失败，请把错误截图发送给发布方。</w:t>
            </w:r>
          </w:p>
        </w:tc>
      </w:tr>
    </w:tbl>
    <w:p>
      <w:pPr>
        <w:pStyle w:val="Heading1"/>
        <w:spacing w:before="360" w:after="160" w:line="288" w:lineRule="auto"/>
      </w:pPr>
      <w:r>
        <w:rPr>
          <w:rFonts w:ascii="Microsoft YaHei" w:hAnsi="Microsoft YaHei" w:eastAsia="Microsoft YaHei"/>
          <w:b/>
          <w:color w:val="2E74B5"/>
          <w:sz w:val="32"/>
        </w:rPr>
        <w:t>7. 发送错误信息时请提供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sz w:val="22"/>
        </w:rPr>
        <w:t>如果需要联系发布方排查问题，请尽量提供以下信息：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Windows 版本。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MATLAB 版本，例如 R2024b。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软件所在文件夹截图。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完整错误提示截图或输出日志。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是否可以单独打开 MATLAB。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Microsoft YaHei" w:hAnsi="Microsoft YaHei" w:eastAsia="Microsoft YaHei"/>
          <w:sz w:val="22"/>
        </w:rPr>
        <w:t>出错前执行了哪些操作。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40" w:line="276" w:lineRule="auto"/>
            </w:pPr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重要提醒</w:t>
            </w:r>
          </w:p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sz w:val="21"/>
              </w:rPr>
              <w:t>本软件运行 MATLAB 联合仿真时，目标电脑必须安装 MATLAB 并具备可用授权。如果电脑没有 MATLAB，软件无法完成仿真计算。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icrosoft YaHei" w:hAnsi="Microsoft YaHei" w:eastAsia="Microsoft YaHei"/>
        <w:color w:val="595959"/>
        <w:sz w:val="18"/>
      </w:rPr>
      <w:t>普通用户运行说明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