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4D6F08" w14:textId="3EFF0767" w:rsidR="009F48DB" w:rsidRPr="00F97297" w:rsidRDefault="00F97297" w:rsidP="00F97297">
      <w:pPr>
        <w:spacing w:after="0" w:line="240" w:lineRule="auto"/>
        <w:rPr>
          <w:rFonts w:ascii="Times New Roman" w:hAnsi="Times New Roman" w:cs="Times New Roman"/>
          <w:b/>
          <w:bCs/>
        </w:rPr>
      </w:pPr>
      <w:r w:rsidRPr="00F97297">
        <w:rPr>
          <w:rFonts w:ascii="Times New Roman" w:hAnsi="Times New Roman" w:cs="Times New Roman"/>
          <w:b/>
          <w:bCs/>
        </w:rPr>
        <w:t>Question 1:</w:t>
      </w:r>
    </w:p>
    <w:p w14:paraId="1E69DBD9" w14:textId="77777777" w:rsidR="00F97297" w:rsidRDefault="00F97297" w:rsidP="00F97297">
      <w:pPr>
        <w:spacing w:after="0" w:line="240" w:lineRule="auto"/>
        <w:rPr>
          <w:rFonts w:ascii="Times New Roman" w:hAnsi="Times New Roman" w:cs="Times New Roman"/>
        </w:rPr>
      </w:pPr>
    </w:p>
    <w:p w14:paraId="7568E7FE" w14:textId="77777777" w:rsidR="00F97297" w:rsidRDefault="00F97297" w:rsidP="00F97297">
      <w:pPr>
        <w:pStyle w:val="NormalWeb"/>
        <w:spacing w:before="0" w:beforeAutospacing="0" w:after="0" w:afterAutospacing="0"/>
        <w:ind w:firstLine="720"/>
        <w:rPr>
          <w:color w:val="000000"/>
        </w:rPr>
      </w:pPr>
      <w:r>
        <w:rPr>
          <w:color w:val="000000"/>
        </w:rPr>
        <w:t>Human rights research relies on vast bodies of documentation—including court records, testimonies, NGO reports, forensic evidence, media archives, and government materials—that often exceed the capacity of traditional qualitative methods. Cleaned and well-organized corpora transform these fragmented materials into searchable datasets, enabling researchers and organizations to navigate complex documentation more efficiently and connect sources that would otherwise remain dispersed across institutions, languages, and formats.</w:t>
      </w:r>
    </w:p>
    <w:p w14:paraId="54990344" w14:textId="77777777" w:rsidR="00F97297" w:rsidRDefault="00F97297" w:rsidP="00F97297">
      <w:pPr>
        <w:pStyle w:val="NormalWeb"/>
        <w:spacing w:before="0" w:beforeAutospacing="0" w:after="0" w:afterAutospacing="0"/>
        <w:ind w:firstLine="720"/>
        <w:rPr>
          <w:color w:val="000000"/>
        </w:rPr>
      </w:pPr>
      <w:r>
        <w:rPr>
          <w:color w:val="000000"/>
        </w:rPr>
        <w:t>Once documentation is systematically organized, computational tools such as large language models (LLMs) can significantly expand analytical capacity. They assist with tasks such as entity extraction, document classification, timeline reconstruction, and cross-referencing events across large collections of records. Rather than replacing expert judgment, these tools reduce the time required for large-scale document review and allow human rights investigators to concentrate on verification, contextual interpretation, and legal analysis.</w:t>
      </w:r>
    </w:p>
    <w:p w14:paraId="0D1F3B9F" w14:textId="77777777" w:rsidR="00F97297" w:rsidRDefault="00F97297" w:rsidP="00F97297">
      <w:pPr>
        <w:pStyle w:val="NormalWeb"/>
        <w:spacing w:before="0" w:beforeAutospacing="0" w:after="0" w:afterAutospacing="0"/>
        <w:ind w:firstLine="720"/>
        <w:rPr>
          <w:color w:val="000000"/>
        </w:rPr>
      </w:pPr>
      <w:r>
        <w:rPr>
          <w:color w:val="000000"/>
        </w:rPr>
        <w:t>Standardized documentation systems also strengthen methodological consistency across research projects. Human rights investigations are often collaborative and extend across long periods of time. Using common variables, metadata structures, and coding protocols allows multiple researchers and institutions to contribute to a shared body of evidence. This facilitates cumulative research, improves transparency, and ensures that documentation collected today remains usable for future investigations, historical analysis, and accountability processes.</w:t>
      </w:r>
    </w:p>
    <w:p w14:paraId="023EF62B" w14:textId="77777777" w:rsidR="00F97297" w:rsidRDefault="00F97297" w:rsidP="00F97297">
      <w:pPr>
        <w:pStyle w:val="NormalWeb"/>
        <w:spacing w:before="0" w:beforeAutospacing="0" w:after="0" w:afterAutospacing="0"/>
        <w:ind w:firstLine="720"/>
        <w:rPr>
          <w:color w:val="000000"/>
        </w:rPr>
      </w:pPr>
      <w:r>
        <w:rPr>
          <w:color w:val="000000"/>
        </w:rPr>
        <w:t>These systems are particularly important for local NGOs and independent human rights researchers, who frequently operate with limited funding, infrastructure, and personnel. Grassroots organizations are often the primary collectors of crucial evidence—such as testimonies, photographs, and local reports of abuses—but may lack the capacity to process large archives of material. Clear and standardized datasets make it easier for these organizations to integrate the information they gather into broader evidentiary frameworks without requiring extensive technical resources.</w:t>
      </w:r>
    </w:p>
    <w:p w14:paraId="447673F6" w14:textId="77777777" w:rsidR="00F97297" w:rsidRDefault="00F97297" w:rsidP="00F97297">
      <w:pPr>
        <w:pStyle w:val="NormalWeb"/>
        <w:spacing w:before="0" w:beforeAutospacing="0" w:after="0" w:afterAutospacing="0"/>
        <w:ind w:firstLine="720"/>
        <w:rPr>
          <w:color w:val="000000"/>
        </w:rPr>
      </w:pPr>
      <w:r>
        <w:rPr>
          <w:color w:val="000000"/>
        </w:rPr>
        <w:t>Accessible and well-structured documentation systems also help empower victims and affected communities. When information is organized through clear categories—such as dates, locations, types of violations, and responsible actors—it becomes easier to understand what kinds of information are most relevant to collect and preserve. Because many victims lack the economic resources, technical skills, or literacy needed to manage complex documentation systems, accessible formats lower these barriers and allow communities to store, access, and interpret the evidence they produce. In this way, structured corpora not only strengthen research capacity but also support victims’ participation in processes of truth, historical reconstruction, and justice.</w:t>
      </w:r>
    </w:p>
    <w:p w14:paraId="0FB92D54" w14:textId="77777777" w:rsidR="00F97297" w:rsidRDefault="00F97297" w:rsidP="00F97297">
      <w:pPr>
        <w:pStyle w:val="NormalWeb"/>
        <w:spacing w:before="0" w:beforeAutospacing="0" w:after="0" w:afterAutospacing="0"/>
        <w:rPr>
          <w:color w:val="000000"/>
        </w:rPr>
      </w:pPr>
    </w:p>
    <w:p w14:paraId="68D6F59D" w14:textId="77777777" w:rsidR="00F97297" w:rsidRDefault="00F97297" w:rsidP="00F97297">
      <w:pPr>
        <w:pStyle w:val="NormalWeb"/>
        <w:spacing w:before="0" w:beforeAutospacing="0" w:after="0" w:afterAutospacing="0"/>
        <w:rPr>
          <w:color w:val="000000"/>
        </w:rPr>
      </w:pPr>
    </w:p>
    <w:p w14:paraId="54F488CC" w14:textId="607CCE17" w:rsidR="00F97297" w:rsidRDefault="00F97297" w:rsidP="00F97297">
      <w:pPr>
        <w:spacing w:after="0" w:line="240" w:lineRule="auto"/>
        <w:rPr>
          <w:rFonts w:ascii="Times New Roman" w:hAnsi="Times New Roman" w:cs="Times New Roman"/>
          <w:b/>
          <w:bCs/>
        </w:rPr>
      </w:pPr>
      <w:r w:rsidRPr="00F97297">
        <w:rPr>
          <w:rFonts w:ascii="Times New Roman" w:hAnsi="Times New Roman" w:cs="Times New Roman"/>
          <w:b/>
          <w:bCs/>
        </w:rPr>
        <w:t xml:space="preserve">Question </w:t>
      </w:r>
      <w:r>
        <w:rPr>
          <w:rFonts w:ascii="Times New Roman" w:hAnsi="Times New Roman" w:cs="Times New Roman"/>
          <w:b/>
          <w:bCs/>
        </w:rPr>
        <w:t>2</w:t>
      </w:r>
      <w:r w:rsidRPr="00F97297">
        <w:rPr>
          <w:rFonts w:ascii="Times New Roman" w:hAnsi="Times New Roman" w:cs="Times New Roman"/>
          <w:b/>
          <w:bCs/>
        </w:rPr>
        <w:t>:</w:t>
      </w:r>
    </w:p>
    <w:p w14:paraId="11F00D6D" w14:textId="77777777" w:rsidR="00464726" w:rsidRDefault="00464726" w:rsidP="00F97297">
      <w:pPr>
        <w:spacing w:after="0" w:line="240" w:lineRule="auto"/>
        <w:rPr>
          <w:rFonts w:ascii="Times New Roman" w:hAnsi="Times New Roman" w:cs="Times New Roman"/>
          <w:b/>
          <w:bCs/>
        </w:rPr>
      </w:pPr>
    </w:p>
    <w:p w14:paraId="752F3E47" w14:textId="124E9980" w:rsidR="00464726" w:rsidRPr="00464726" w:rsidRDefault="00464726" w:rsidP="00464726">
      <w:pPr>
        <w:pStyle w:val="NormalWeb"/>
        <w:spacing w:before="0" w:beforeAutospacing="0" w:after="0" w:afterAutospacing="0"/>
        <w:ind w:firstLine="720"/>
        <w:rPr>
          <w:color w:val="000000"/>
        </w:rPr>
      </w:pPr>
      <w:r w:rsidRPr="00464726">
        <w:rPr>
          <w:color w:val="000000"/>
        </w:rPr>
        <w:t xml:space="preserve">When developing new research projects using the UMN dataset, </w:t>
      </w:r>
      <w:r w:rsidR="004A4563">
        <w:rPr>
          <w:color w:val="000000"/>
        </w:rPr>
        <w:t>we are</w:t>
      </w:r>
      <w:r w:rsidRPr="00464726">
        <w:rPr>
          <w:color w:val="000000"/>
        </w:rPr>
        <w:t xml:space="preserve"> particularly interested in analyzing how violence is</w:t>
      </w:r>
      <w:r w:rsidRPr="00464726">
        <w:rPr>
          <w:rStyle w:val="apple-converted-space"/>
          <w:rFonts w:eastAsiaTheme="majorEastAsia"/>
          <w:color w:val="000000"/>
        </w:rPr>
        <w:t> </w:t>
      </w:r>
      <w:r w:rsidRPr="004A4563">
        <w:rPr>
          <w:rStyle w:val="Strong"/>
          <w:rFonts w:eastAsiaTheme="majorEastAsia"/>
          <w:b w:val="0"/>
          <w:bCs w:val="0"/>
          <w:color w:val="000000"/>
        </w:rPr>
        <w:t>portrayed, described, or obscured through language in public reporting</w:t>
      </w:r>
      <w:r w:rsidRPr="00464726">
        <w:rPr>
          <w:color w:val="000000"/>
        </w:rPr>
        <w:t xml:space="preserve">, especially in ways that prevent the systematic identification of human rights and international crimes. Our work focuses on identifying the use </w:t>
      </w:r>
      <w:r w:rsidRPr="004A4563">
        <w:rPr>
          <w:b/>
          <w:bCs/>
          <w:color w:val="000000"/>
        </w:rPr>
        <w:t>of</w:t>
      </w:r>
      <w:r w:rsidRPr="004A4563">
        <w:rPr>
          <w:rStyle w:val="apple-converted-space"/>
          <w:rFonts w:eastAsiaTheme="majorEastAsia"/>
          <w:b/>
          <w:bCs/>
          <w:color w:val="000000"/>
        </w:rPr>
        <w:t> </w:t>
      </w:r>
      <w:r w:rsidRPr="004A4563">
        <w:rPr>
          <w:rStyle w:val="Strong"/>
          <w:rFonts w:eastAsiaTheme="majorEastAsia"/>
          <w:b w:val="0"/>
          <w:bCs w:val="0"/>
          <w:color w:val="000000"/>
        </w:rPr>
        <w:t>euphemisms, ambiguous terminology, and narrative framing</w:t>
      </w:r>
      <w:r w:rsidRPr="00464726">
        <w:rPr>
          <w:rStyle w:val="apple-converted-space"/>
          <w:rFonts w:eastAsiaTheme="majorEastAsia"/>
          <w:color w:val="000000"/>
        </w:rPr>
        <w:t> </w:t>
      </w:r>
      <w:r w:rsidRPr="00464726">
        <w:rPr>
          <w:color w:val="000000"/>
        </w:rPr>
        <w:t xml:space="preserve">that mask patterns of violence and make it more difficult to establish the widespread or systematic nature of abuses—an essential requirement for proving </w:t>
      </w:r>
      <w:r w:rsidRPr="00464726">
        <w:rPr>
          <w:color w:val="000000"/>
        </w:rPr>
        <w:lastRenderedPageBreak/>
        <w:t>international crimes before courts. By analyzing large corpora of media reports and related documentation, we aim to understand how linguistic practices can shape the visibility of violence and influence whether certain acts are recognized as human rights violations.</w:t>
      </w:r>
    </w:p>
    <w:p w14:paraId="3075274D" w14:textId="77777777" w:rsidR="00464726" w:rsidRPr="00464726" w:rsidRDefault="00464726" w:rsidP="00880350">
      <w:pPr>
        <w:pStyle w:val="NormalWeb"/>
        <w:spacing w:before="0" w:beforeAutospacing="0" w:after="0" w:afterAutospacing="0"/>
        <w:ind w:firstLine="720"/>
        <w:rPr>
          <w:color w:val="000000"/>
        </w:rPr>
      </w:pPr>
      <w:r w:rsidRPr="00464726">
        <w:rPr>
          <w:color w:val="000000"/>
        </w:rPr>
        <w:t>One specific focus of our research using the UMN dataset concerns the terminology that emerged during Mexico’s so-called</w:t>
      </w:r>
      <w:r w:rsidRPr="00464726">
        <w:rPr>
          <w:rStyle w:val="apple-converted-space"/>
          <w:rFonts w:eastAsiaTheme="majorEastAsia"/>
          <w:color w:val="000000"/>
        </w:rPr>
        <w:t> </w:t>
      </w:r>
      <w:r w:rsidRPr="00880350">
        <w:rPr>
          <w:rStyle w:val="Strong"/>
          <w:rFonts w:eastAsiaTheme="majorEastAsia"/>
          <w:b w:val="0"/>
          <w:bCs w:val="0"/>
          <w:color w:val="000000"/>
        </w:rPr>
        <w:t>“War on Drugs,” declared by President Felipe Calderón in 2006</w:t>
      </w:r>
      <w:r w:rsidRPr="00880350">
        <w:rPr>
          <w:b/>
          <w:bCs/>
          <w:color w:val="000000"/>
        </w:rPr>
        <w:t>.</w:t>
      </w:r>
      <w:r w:rsidRPr="00464726">
        <w:rPr>
          <w:color w:val="000000"/>
        </w:rPr>
        <w:t xml:space="preserve"> During this period, journalists increasingly used the term</w:t>
      </w:r>
      <w:r w:rsidRPr="00464726">
        <w:rPr>
          <w:rStyle w:val="apple-converted-space"/>
          <w:rFonts w:eastAsiaTheme="majorEastAsia"/>
          <w:color w:val="000000"/>
        </w:rPr>
        <w:t> </w:t>
      </w:r>
      <w:r w:rsidRPr="00464726">
        <w:rPr>
          <w:rStyle w:val="Emphasis"/>
          <w:rFonts w:eastAsiaTheme="majorEastAsia"/>
          <w:color w:val="000000"/>
        </w:rPr>
        <w:t>“</w:t>
      </w:r>
      <w:proofErr w:type="spellStart"/>
      <w:r w:rsidRPr="00464726">
        <w:rPr>
          <w:rStyle w:val="Emphasis"/>
          <w:rFonts w:eastAsiaTheme="majorEastAsia"/>
          <w:color w:val="000000"/>
        </w:rPr>
        <w:t>levantón</w:t>
      </w:r>
      <w:proofErr w:type="spellEnd"/>
      <w:r w:rsidRPr="00464726">
        <w:rPr>
          <w:rStyle w:val="Emphasis"/>
          <w:rFonts w:eastAsiaTheme="majorEastAsia"/>
          <w:color w:val="000000"/>
        </w:rPr>
        <w:t>”</w:t>
      </w:r>
      <w:r w:rsidRPr="00464726">
        <w:rPr>
          <w:rStyle w:val="apple-converted-space"/>
          <w:rFonts w:eastAsiaTheme="majorEastAsia"/>
          <w:color w:val="000000"/>
        </w:rPr>
        <w:t> </w:t>
      </w:r>
      <w:r w:rsidRPr="00464726">
        <w:rPr>
          <w:color w:val="000000"/>
        </w:rPr>
        <w:t>(“big lift”) to describe events involving the deprivation of liberty followed by the disappearance of individuals whose fate and whereabouts remained unknown. Although some journalists now employ more accurate terminology, many reports still frame disappearances primarily as</w:t>
      </w:r>
      <w:r w:rsidRPr="00464726">
        <w:rPr>
          <w:rStyle w:val="apple-converted-space"/>
          <w:rFonts w:eastAsiaTheme="majorEastAsia"/>
          <w:color w:val="000000"/>
        </w:rPr>
        <w:t> </w:t>
      </w:r>
      <w:r w:rsidRPr="00880350">
        <w:rPr>
          <w:rStyle w:val="Strong"/>
          <w:rFonts w:eastAsiaTheme="majorEastAsia"/>
          <w:b w:val="0"/>
          <w:bCs w:val="0"/>
          <w:color w:val="000000"/>
        </w:rPr>
        <w:t>ordinary criminal acts rather than as serious human rights violations</w:t>
      </w:r>
      <w:r w:rsidRPr="00880350">
        <w:rPr>
          <w:color w:val="000000"/>
        </w:rPr>
        <w:t>,</w:t>
      </w:r>
      <w:r w:rsidRPr="00464726">
        <w:rPr>
          <w:color w:val="000000"/>
        </w:rPr>
        <w:t xml:space="preserve"> often overlooking the possible role of the state through action, tolerance, or omission. Our research seeks to examine how such language contributes to the normalization or depoliticization of enforced disappearance in public discourse.</w:t>
      </w:r>
    </w:p>
    <w:p w14:paraId="1971720B" w14:textId="10BFE748" w:rsidR="00464726" w:rsidRPr="00464726" w:rsidRDefault="00464726" w:rsidP="00880350">
      <w:pPr>
        <w:pStyle w:val="NormalWeb"/>
        <w:spacing w:before="0" w:beforeAutospacing="0" w:after="0" w:afterAutospacing="0"/>
        <w:ind w:firstLine="720"/>
        <w:rPr>
          <w:color w:val="000000"/>
        </w:rPr>
      </w:pPr>
      <w:r w:rsidRPr="00464726">
        <w:rPr>
          <w:color w:val="000000"/>
        </w:rPr>
        <w:t>Presenting disappearances as isolated crimes creates several analytical and legal problems. First, it reduces the event to a single act of deprivation of liberty rather than recognizing</w:t>
      </w:r>
      <w:r w:rsidRPr="00464726">
        <w:rPr>
          <w:rStyle w:val="apple-converted-space"/>
          <w:rFonts w:eastAsiaTheme="majorEastAsia"/>
          <w:color w:val="000000"/>
        </w:rPr>
        <w:t> </w:t>
      </w:r>
      <w:r w:rsidRPr="00880350">
        <w:rPr>
          <w:rStyle w:val="Strong"/>
          <w:rFonts w:eastAsiaTheme="majorEastAsia"/>
          <w:b w:val="0"/>
          <w:bCs w:val="0"/>
          <w:color w:val="000000"/>
        </w:rPr>
        <w:t>enforced disappearance as a continuous and ongoing crime</w:t>
      </w:r>
      <w:r w:rsidR="00880350">
        <w:rPr>
          <w:color w:val="000000"/>
        </w:rPr>
        <w:t xml:space="preserve"> </w:t>
      </w:r>
      <w:r w:rsidRPr="00464726">
        <w:rPr>
          <w:color w:val="000000"/>
        </w:rPr>
        <w:t>that persists as long as the person’s fate remains unknown. Second, it obscures the</w:t>
      </w:r>
      <w:r w:rsidRPr="00464726">
        <w:rPr>
          <w:rStyle w:val="apple-converted-space"/>
          <w:rFonts w:eastAsiaTheme="majorEastAsia"/>
          <w:color w:val="000000"/>
        </w:rPr>
        <w:t> </w:t>
      </w:r>
      <w:r w:rsidRPr="001C550B">
        <w:rPr>
          <w:rStyle w:val="Strong"/>
          <w:rFonts w:eastAsiaTheme="majorEastAsia"/>
          <w:b w:val="0"/>
          <w:bCs w:val="0"/>
          <w:color w:val="000000"/>
        </w:rPr>
        <w:t>multiple human rights violations involved</w:t>
      </w:r>
      <w:r w:rsidRPr="001C550B">
        <w:rPr>
          <w:color w:val="000000"/>
        </w:rPr>
        <w:t xml:space="preserve">, </w:t>
      </w:r>
      <w:r w:rsidRPr="00464726">
        <w:rPr>
          <w:color w:val="000000"/>
        </w:rPr>
        <w:t>including violations of the rights to life, personal integrity, and juridical personality, and ignores the broader circle of victims affected by the disappearance. Finally, it conceals the</w:t>
      </w:r>
      <w:r w:rsidRPr="00464726">
        <w:rPr>
          <w:rStyle w:val="apple-converted-space"/>
          <w:rFonts w:eastAsiaTheme="majorEastAsia"/>
          <w:color w:val="000000"/>
        </w:rPr>
        <w:t> </w:t>
      </w:r>
      <w:r w:rsidRPr="001C550B">
        <w:rPr>
          <w:rStyle w:val="Strong"/>
          <w:rFonts w:eastAsiaTheme="majorEastAsia"/>
          <w:b w:val="0"/>
          <w:bCs w:val="0"/>
          <w:color w:val="000000"/>
        </w:rPr>
        <w:t>possible involvement of the state</w:t>
      </w:r>
      <w:r w:rsidRPr="00464726">
        <w:rPr>
          <w:color w:val="000000"/>
        </w:rPr>
        <w:t>, which is central to the legal definition of enforced disappearance. The use of terms like</w:t>
      </w:r>
      <w:r w:rsidRPr="00464726">
        <w:rPr>
          <w:rStyle w:val="apple-converted-space"/>
          <w:rFonts w:eastAsiaTheme="majorEastAsia"/>
          <w:color w:val="000000"/>
        </w:rPr>
        <w:t> </w:t>
      </w:r>
      <w:r w:rsidRPr="00464726">
        <w:rPr>
          <w:rStyle w:val="Emphasis"/>
          <w:rFonts w:eastAsiaTheme="majorEastAsia"/>
          <w:color w:val="000000"/>
        </w:rPr>
        <w:t>“</w:t>
      </w:r>
      <w:proofErr w:type="spellStart"/>
      <w:r w:rsidRPr="00464726">
        <w:rPr>
          <w:rStyle w:val="Emphasis"/>
          <w:rFonts w:eastAsiaTheme="majorEastAsia"/>
          <w:color w:val="000000"/>
        </w:rPr>
        <w:t>levantón</w:t>
      </w:r>
      <w:proofErr w:type="spellEnd"/>
      <w:r w:rsidRPr="00464726">
        <w:rPr>
          <w:rStyle w:val="Emphasis"/>
          <w:rFonts w:eastAsiaTheme="majorEastAsia"/>
          <w:color w:val="000000"/>
        </w:rPr>
        <w:t>”</w:t>
      </w:r>
      <w:r w:rsidRPr="00464726">
        <w:rPr>
          <w:rStyle w:val="apple-converted-space"/>
          <w:rFonts w:eastAsiaTheme="majorEastAsia"/>
          <w:color w:val="000000"/>
        </w:rPr>
        <w:t> </w:t>
      </w:r>
      <w:r w:rsidRPr="00464726">
        <w:rPr>
          <w:color w:val="000000"/>
        </w:rPr>
        <w:t>is particularly problematic because it originates in the lexicon of organized crime and functions as a euphemism that masks what may in fact be enforced disappearance. Through systematic analysis of this language, our research seeks to reveal how linguistic framing can obscure patterns of violence that are essential for legal accountability and human rights documentation.</w:t>
      </w:r>
    </w:p>
    <w:p w14:paraId="4569EB8F" w14:textId="77777777" w:rsidR="00464726" w:rsidRDefault="00464726" w:rsidP="00F97297">
      <w:pPr>
        <w:spacing w:after="0" w:line="240" w:lineRule="auto"/>
        <w:rPr>
          <w:rFonts w:ascii="Times New Roman" w:hAnsi="Times New Roman" w:cs="Times New Roman"/>
        </w:rPr>
      </w:pPr>
    </w:p>
    <w:p w14:paraId="60D02BCD" w14:textId="77777777" w:rsidR="001C550B" w:rsidRDefault="001C550B" w:rsidP="00F97297">
      <w:pPr>
        <w:spacing w:after="0" w:line="240" w:lineRule="auto"/>
        <w:rPr>
          <w:rFonts w:ascii="Times New Roman" w:hAnsi="Times New Roman" w:cs="Times New Roman"/>
        </w:rPr>
      </w:pPr>
    </w:p>
    <w:p w14:paraId="196D3D54" w14:textId="553F9DD9" w:rsidR="001C550B" w:rsidRDefault="001C550B" w:rsidP="001C550B">
      <w:pPr>
        <w:spacing w:after="0" w:line="240" w:lineRule="auto"/>
        <w:rPr>
          <w:rFonts w:ascii="Times New Roman" w:hAnsi="Times New Roman" w:cs="Times New Roman"/>
          <w:b/>
          <w:bCs/>
        </w:rPr>
      </w:pPr>
      <w:r w:rsidRPr="00F97297">
        <w:rPr>
          <w:rFonts w:ascii="Times New Roman" w:hAnsi="Times New Roman" w:cs="Times New Roman"/>
          <w:b/>
          <w:bCs/>
        </w:rPr>
        <w:t xml:space="preserve">Question </w:t>
      </w:r>
      <w:r>
        <w:rPr>
          <w:rFonts w:ascii="Times New Roman" w:hAnsi="Times New Roman" w:cs="Times New Roman"/>
          <w:b/>
          <w:bCs/>
        </w:rPr>
        <w:t>3</w:t>
      </w:r>
      <w:r w:rsidRPr="00F97297">
        <w:rPr>
          <w:rFonts w:ascii="Times New Roman" w:hAnsi="Times New Roman" w:cs="Times New Roman"/>
          <w:b/>
          <w:bCs/>
        </w:rPr>
        <w:t>:</w:t>
      </w:r>
    </w:p>
    <w:p w14:paraId="410C10AA" w14:textId="77777777" w:rsidR="001C550B" w:rsidRDefault="001C550B" w:rsidP="001C550B">
      <w:pPr>
        <w:spacing w:after="0" w:line="240" w:lineRule="auto"/>
        <w:rPr>
          <w:rFonts w:ascii="Times New Roman" w:hAnsi="Times New Roman" w:cs="Times New Roman"/>
          <w:b/>
          <w:bCs/>
        </w:rPr>
      </w:pPr>
    </w:p>
    <w:p w14:paraId="5DF3CC43" w14:textId="77777777" w:rsidR="001C550B" w:rsidRDefault="001C550B" w:rsidP="001C550B">
      <w:pPr>
        <w:pStyle w:val="NormalWeb"/>
        <w:spacing w:before="0" w:beforeAutospacing="0" w:after="0" w:afterAutospacing="0"/>
        <w:ind w:firstLine="720"/>
        <w:rPr>
          <w:color w:val="000000"/>
        </w:rPr>
      </w:pPr>
      <w:r>
        <w:rPr>
          <w:color w:val="000000"/>
        </w:rPr>
        <w:t>Masking victim names in the dataset is an important measure to</w:t>
      </w:r>
      <w:r>
        <w:rPr>
          <w:rStyle w:val="apple-converted-space"/>
          <w:rFonts w:eastAsiaTheme="majorEastAsia"/>
          <w:color w:val="000000"/>
        </w:rPr>
        <w:t> </w:t>
      </w:r>
      <w:r w:rsidRPr="001C550B">
        <w:rPr>
          <w:rStyle w:val="Strong"/>
          <w:rFonts w:eastAsiaTheme="majorEastAsia"/>
          <w:b w:val="0"/>
          <w:bCs w:val="0"/>
          <w:color w:val="000000"/>
        </w:rPr>
        <w:t>protect the privacy, dignity, and security of victims and their families</w:t>
      </w:r>
      <w:r>
        <w:rPr>
          <w:color w:val="000000"/>
        </w:rPr>
        <w:t>. Cases involving enforced disappearance and other forms of violence often remain politically sensitive and may involve powerful actors, including criminal organizations or state agents. Publicly circulating identifiable personal information can expose victims’ relatives to intimidation, retaliation, or renewed stigmatization. By anonymizing names while preserving the relevant contextual data—such as dates, locations, and types of violations—the dataset allows researchers to analyze patterns of violence without placing individuals or families at additional risk.</w:t>
      </w:r>
    </w:p>
    <w:p w14:paraId="6CEFFF94" w14:textId="77777777" w:rsidR="001C550B" w:rsidRDefault="001C550B" w:rsidP="001C550B">
      <w:pPr>
        <w:pStyle w:val="NormalWeb"/>
        <w:spacing w:before="0" w:beforeAutospacing="0" w:after="0" w:afterAutospacing="0"/>
        <w:ind w:firstLine="720"/>
        <w:rPr>
          <w:color w:val="000000"/>
        </w:rPr>
      </w:pPr>
      <w:r>
        <w:rPr>
          <w:color w:val="000000"/>
        </w:rPr>
        <w:t>Anonymization also reflects broader</w:t>
      </w:r>
      <w:r>
        <w:rPr>
          <w:rStyle w:val="apple-converted-space"/>
          <w:rFonts w:eastAsiaTheme="majorEastAsia"/>
          <w:color w:val="000000"/>
        </w:rPr>
        <w:t> </w:t>
      </w:r>
      <w:r w:rsidRPr="001C550B">
        <w:rPr>
          <w:rStyle w:val="Strong"/>
          <w:rFonts w:eastAsiaTheme="majorEastAsia"/>
          <w:b w:val="0"/>
          <w:bCs w:val="0"/>
          <w:color w:val="000000"/>
        </w:rPr>
        <w:t>ethical standards in human rights research and documentation</w:t>
      </w:r>
      <w:r>
        <w:rPr>
          <w:color w:val="000000"/>
        </w:rPr>
        <w:t>, which prioritize the protection of victims over the unrestricted dissemination of personal information. Masking identities helps prevent the re-traumatization of families and respects their right to control how their loved ones’ stories are used and shared. At the same time, the dataset remains analytically valuable because the key variables needed to study trends, language, and patterns of violence are preserved, enabling rigorous research while maintaining responsible safeguards for those directly affected by the crimes being documented.</w:t>
      </w:r>
    </w:p>
    <w:p w14:paraId="3030A346" w14:textId="77777777" w:rsidR="00F97297" w:rsidRDefault="00F97297" w:rsidP="00F97297">
      <w:pPr>
        <w:pStyle w:val="NormalWeb"/>
        <w:spacing w:before="0" w:beforeAutospacing="0" w:after="0" w:afterAutospacing="0"/>
        <w:rPr>
          <w:color w:val="000000"/>
        </w:rPr>
      </w:pPr>
    </w:p>
    <w:p w14:paraId="22509D72" w14:textId="2CF7ADA8" w:rsidR="00F97297" w:rsidRPr="00F97297" w:rsidRDefault="00F97297" w:rsidP="00F97297">
      <w:pPr>
        <w:spacing w:after="0" w:line="240" w:lineRule="auto"/>
        <w:rPr>
          <w:rFonts w:ascii="Times New Roman" w:hAnsi="Times New Roman" w:cs="Times New Roman"/>
        </w:rPr>
      </w:pPr>
    </w:p>
    <w:sectPr w:rsidR="00F97297" w:rsidRPr="00F9729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48DB"/>
    <w:rsid w:val="001C550B"/>
    <w:rsid w:val="00464726"/>
    <w:rsid w:val="004A4563"/>
    <w:rsid w:val="00880350"/>
    <w:rsid w:val="009F48DB"/>
    <w:rsid w:val="00F97297"/>
    <w:rsid w:val="00FF46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33A8094"/>
  <w15:chartTrackingRefBased/>
  <w15:docId w15:val="{306B18DE-FFCA-EE44-8FDC-A1EC62E505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F48D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F48D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F48D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F48D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F48D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F48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48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48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48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48D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F48D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F48D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F48D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F48D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F48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48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48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48DB"/>
    <w:rPr>
      <w:rFonts w:eastAsiaTheme="majorEastAsia" w:cstheme="majorBidi"/>
      <w:color w:val="272727" w:themeColor="text1" w:themeTint="D8"/>
    </w:rPr>
  </w:style>
  <w:style w:type="paragraph" w:styleId="Title">
    <w:name w:val="Title"/>
    <w:basedOn w:val="Normal"/>
    <w:next w:val="Normal"/>
    <w:link w:val="TitleChar"/>
    <w:uiPriority w:val="10"/>
    <w:qFormat/>
    <w:rsid w:val="009F48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48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48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48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48DB"/>
    <w:pPr>
      <w:spacing w:before="160"/>
      <w:jc w:val="center"/>
    </w:pPr>
    <w:rPr>
      <w:i/>
      <w:iCs/>
      <w:color w:val="404040" w:themeColor="text1" w:themeTint="BF"/>
    </w:rPr>
  </w:style>
  <w:style w:type="character" w:customStyle="1" w:styleId="QuoteChar">
    <w:name w:val="Quote Char"/>
    <w:basedOn w:val="DefaultParagraphFont"/>
    <w:link w:val="Quote"/>
    <w:uiPriority w:val="29"/>
    <w:rsid w:val="009F48DB"/>
    <w:rPr>
      <w:i/>
      <w:iCs/>
      <w:color w:val="404040" w:themeColor="text1" w:themeTint="BF"/>
    </w:rPr>
  </w:style>
  <w:style w:type="paragraph" w:styleId="ListParagraph">
    <w:name w:val="List Paragraph"/>
    <w:basedOn w:val="Normal"/>
    <w:uiPriority w:val="34"/>
    <w:qFormat/>
    <w:rsid w:val="009F48DB"/>
    <w:pPr>
      <w:ind w:left="720"/>
      <w:contextualSpacing/>
    </w:pPr>
  </w:style>
  <w:style w:type="character" w:styleId="IntenseEmphasis">
    <w:name w:val="Intense Emphasis"/>
    <w:basedOn w:val="DefaultParagraphFont"/>
    <w:uiPriority w:val="21"/>
    <w:qFormat/>
    <w:rsid w:val="009F48DB"/>
    <w:rPr>
      <w:i/>
      <w:iCs/>
      <w:color w:val="0F4761" w:themeColor="accent1" w:themeShade="BF"/>
    </w:rPr>
  </w:style>
  <w:style w:type="paragraph" w:styleId="IntenseQuote">
    <w:name w:val="Intense Quote"/>
    <w:basedOn w:val="Normal"/>
    <w:next w:val="Normal"/>
    <w:link w:val="IntenseQuoteChar"/>
    <w:uiPriority w:val="30"/>
    <w:qFormat/>
    <w:rsid w:val="009F48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F48DB"/>
    <w:rPr>
      <w:i/>
      <w:iCs/>
      <w:color w:val="0F4761" w:themeColor="accent1" w:themeShade="BF"/>
    </w:rPr>
  </w:style>
  <w:style w:type="character" w:styleId="IntenseReference">
    <w:name w:val="Intense Reference"/>
    <w:basedOn w:val="DefaultParagraphFont"/>
    <w:uiPriority w:val="32"/>
    <w:qFormat/>
    <w:rsid w:val="009F48DB"/>
    <w:rPr>
      <w:b/>
      <w:bCs/>
      <w:smallCaps/>
      <w:color w:val="0F4761" w:themeColor="accent1" w:themeShade="BF"/>
      <w:spacing w:val="5"/>
    </w:rPr>
  </w:style>
  <w:style w:type="paragraph" w:styleId="NormalWeb">
    <w:name w:val="Normal (Web)"/>
    <w:basedOn w:val="Normal"/>
    <w:uiPriority w:val="99"/>
    <w:semiHidden/>
    <w:unhideWhenUsed/>
    <w:rsid w:val="00F9729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464726"/>
  </w:style>
  <w:style w:type="character" w:styleId="Strong">
    <w:name w:val="Strong"/>
    <w:basedOn w:val="DefaultParagraphFont"/>
    <w:uiPriority w:val="22"/>
    <w:qFormat/>
    <w:rsid w:val="00464726"/>
    <w:rPr>
      <w:b/>
      <w:bCs/>
    </w:rPr>
  </w:style>
  <w:style w:type="character" w:styleId="Emphasis">
    <w:name w:val="Emphasis"/>
    <w:basedOn w:val="DefaultParagraphFont"/>
    <w:uiPriority w:val="20"/>
    <w:qFormat/>
    <w:rsid w:val="0046472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2</Pages>
  <Words>1133</Words>
  <Characters>5939</Characters>
  <Application>Microsoft Office Word</Application>
  <DocSecurity>0</DocSecurity>
  <Lines>141</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Cuellar Cuellar, Paula Sofia</dc:creator>
  <cp:keywords/>
  <dc:description/>
  <cp:lastModifiedBy>Cuellar Cuellar, Paula Sofia</cp:lastModifiedBy>
  <cp:revision>4</cp:revision>
  <dcterms:created xsi:type="dcterms:W3CDTF">2026-03-08T19:15:00Z</dcterms:created>
  <dcterms:modified xsi:type="dcterms:W3CDTF">2026-03-08T19:40:00Z</dcterms:modified>
</cp:coreProperties>
</file>