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1FB66">
      <w:r>
        <w:rPr>
          <w:b/>
        </w:rPr>
        <w:t>实验1 海明校验码设计 实验报告</w:t>
      </w:r>
    </w:p>
    <w:p w14:paraId="3EA71651"/>
    <w:p w14:paraId="58765018">
      <w:pPr>
        <w:spacing w:line="360" w:lineRule="auto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1.1</w:t>
      </w:r>
      <w:r>
        <w:rPr>
          <w:rFonts w:hint="eastAsia"/>
          <w:b/>
          <w:sz w:val="30"/>
          <w:szCs w:val="30"/>
        </w:rPr>
        <w:tab/>
      </w:r>
      <w:r>
        <w:rPr>
          <w:rFonts w:hint="eastAsia"/>
          <w:b/>
          <w:sz w:val="30"/>
          <w:szCs w:val="30"/>
        </w:rPr>
        <w:t>实验目的</w:t>
      </w:r>
    </w:p>
    <w:p w14:paraId="45DAF0D7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>掌握海明码设计原理与检错、纠错性能，能独立设计实现</w:t>
      </w:r>
      <w:r>
        <w:rPr>
          <w:rFonts w:hint="eastAsia"/>
          <w:sz w:val="24"/>
          <w:szCs w:val="24"/>
        </w:rPr>
        <w:t>16位汉字GB2312机内码的海明校验编码体系，并最终在实验环境中利用硬件电路实现对应的海明编解码电路。</w:t>
      </w:r>
    </w:p>
    <w:p w14:paraId="38F698B2">
      <w:pPr>
        <w:rPr>
          <w:sz w:val="24"/>
          <w:szCs w:val="24"/>
        </w:rPr>
      </w:pPr>
    </w:p>
    <w:p w14:paraId="596C13B2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1.2 实验原理</w:t>
      </w:r>
    </w:p>
    <w:p w14:paraId="6C8FB6D8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>图</w:t>
      </w:r>
      <w:r>
        <w:rPr>
          <w:rFonts w:hint="eastAsia"/>
          <w:sz w:val="24"/>
          <w:szCs w:val="24"/>
        </w:rPr>
        <w:t>1.1</w:t>
      </w:r>
      <w:r>
        <w:rPr>
          <w:sz w:val="24"/>
          <w:szCs w:val="24"/>
        </w:rPr>
        <w:t>给出了海明编码传输测试电路，该电路模拟了数据的海明校验码、不可靠传输、海明校验码检错、解码全过程。图左侧发送方通过地址计数器不断从</w:t>
      </w:r>
      <w:r>
        <w:rPr>
          <w:rFonts w:hint="eastAsia"/>
          <w:sz w:val="24"/>
          <w:szCs w:val="24"/>
        </w:rPr>
        <w:t>ROM存储器中取出16位的汉字GB2312机内码，每来一个时钟，地址计数器自动加1，通过ROM组件取出新的汉字编码，送人海明编码电路生成22位的海明码，再经过随机干扰模块进行随机加扰（加扰方式是输入数据异或干扰屏蔽字，可以通过加干扰控制引脚的值来控制随机干扰模式，00表示无干扰，01表示1位错随机干扰，10表示2位错随机干扰，11表示0~2位错随机干扰），加扰后的海明码再通过海明解码电路进行检错解码，并将16位原始数据提取出来。</w:t>
      </w:r>
    </w:p>
    <w:p w14:paraId="14B47CCA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为方便测试观察，该电路引入了汉字显示模块，可以直接显示发送端和接收端的汉字形码。通过汉字显示对比，可以很直观地观察传输过程中的出错情况，从而观察采用海明校验进行数据传输时的可靠性。如果电路功能实现正常，在0~1位错的情况下左右汉字显示应该完全相同。</w:t>
      </w:r>
    </w:p>
    <w:p w14:paraId="1DA3D44F">
      <w:pPr>
        <w:rPr>
          <w:sz w:val="24"/>
          <w:szCs w:val="24"/>
        </w:rPr>
      </w:pPr>
    </w:p>
    <w:p w14:paraId="4A37F42B">
      <w:pPr>
        <w:keepNext/>
        <w:jc w:val="center"/>
      </w:pPr>
      <w:r>
        <w:rPr>
          <w:sz w:val="24"/>
          <w:szCs w:val="24"/>
        </w:rPr>
        <w:drawing>
          <wp:inline distT="0" distB="0" distL="0" distR="0">
            <wp:extent cx="5133975" cy="3928745"/>
            <wp:effectExtent l="0" t="0" r="19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92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66E84">
      <w:pPr>
        <w:pStyle w:val="15"/>
        <w:jc w:val="center"/>
        <w:rPr>
          <w:sz w:val="24"/>
          <w:szCs w:val="24"/>
        </w:rPr>
      </w:pPr>
      <w:r>
        <w:t>图</w:t>
      </w:r>
      <w:r>
        <w:rPr>
          <w:rFonts w:hint="eastAsia"/>
        </w:rPr>
        <w:t>1.1 海明编码传输测试电路</w:t>
      </w:r>
    </w:p>
    <w:p w14:paraId="0549F249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1.3 实验内容</w:t>
      </w:r>
    </w:p>
    <w:p w14:paraId="44AD8D2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1.3.1 设计海明校验编码电路</w:t>
      </w:r>
    </w:p>
    <w:p w14:paraId="5B518DBD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利用Logisim打开实验资料包中的data.circ文件，在对应电路中完成海明校验编码电路设计，其电路封装与引脚功能描述如表1表所示。</w:t>
      </w:r>
    </w:p>
    <w:p w14:paraId="2C53B7BD">
      <w:pPr>
        <w:ind w:firstLine="420"/>
        <w:rPr>
          <w:sz w:val="24"/>
          <w:szCs w:val="24"/>
        </w:rPr>
      </w:pPr>
    </w:p>
    <w:p w14:paraId="1EA7875C">
      <w:pPr>
        <w:pStyle w:val="15"/>
        <w:keepNext/>
        <w:jc w:val="center"/>
      </w:pPr>
      <w:r>
        <w:rPr>
          <w:rFonts w:hint="eastAsia"/>
        </w:rPr>
        <w:t>表1.1海明校验编码电路封装与引脚功能描述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1275"/>
        <w:gridCol w:w="851"/>
        <w:gridCol w:w="709"/>
        <w:gridCol w:w="2318"/>
      </w:tblGrid>
      <w:tr w14:paraId="08A83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restart"/>
          </w:tcPr>
          <w:p w14:paraId="3994A4B6">
            <w:pPr>
              <w:rPr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106045</wp:posOffset>
                      </wp:positionV>
                      <wp:extent cx="1974850" cy="373380"/>
                      <wp:effectExtent l="0" t="6350" r="6350" b="127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4850" cy="373380"/>
                                <a:chOff x="1780" y="2865"/>
                                <a:chExt cx="3110" cy="588"/>
                              </a:xfrm>
                            </wpg:grpSpPr>
                            <wpg:grpSp>
                              <wpg:cNvPr id="6" name="组合 6"/>
                              <wpg:cNvGrpSpPr/>
                              <wpg:grpSpPr>
                                <a:xfrm>
                                  <a:off x="2475" y="2865"/>
                                  <a:ext cx="1815" cy="420"/>
                                  <a:chOff x="2190" y="2910"/>
                                  <a:chExt cx="1815" cy="420"/>
                                </a:xfrm>
                              </wpg:grpSpPr>
                              <wps:wsp>
                                <wps:cNvPr id="3" name="矩形 3"/>
                                <wps:cNvSpPr/>
                                <wps:spPr>
                                  <a:xfrm>
                                    <a:off x="2490" y="2910"/>
                                    <a:ext cx="1230" cy="420"/>
                                  </a:xfrm>
                                  <a:prstGeom prst="rect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95B3D7"/>
                                      </a:gs>
                                      <a:gs pos="50000">
                                        <a:srgbClr val="DBE5F1"/>
                                      </a:gs>
                                      <a:gs pos="100000">
                                        <a:srgbClr val="95B3D7"/>
                                      </a:gs>
                                    </a:gsLst>
                                    <a:lin ang="18900000" scaled="1"/>
                                    <a:tileRect/>
                                  </a:gradFill>
                                  <a:ln w="12700" cap="flat" cmpd="sng">
                                    <a:solidFill>
                                      <a:srgbClr val="95B3D7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  <a:effectLst>
                                    <a:outerShdw dist="28398" dir="3806096" algn="ctr" rotWithShape="0">
                                      <a:srgbClr val="243F60">
                                        <a:alpha val="50000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14:paraId="51E9A413">
                                      <w:pPr>
                                        <w:jc w:val="center"/>
                                      </w:pPr>
                                      <w:r>
                                        <w:t>海明编码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4" name="直接箭头连接符 4"/>
                                <wps:cNvCnPr/>
                                <wps:spPr>
                                  <a:xfrm>
                                    <a:off x="3720" y="313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5" name="直接箭头连接符 5"/>
                                <wps:cNvCnPr/>
                                <wps:spPr>
                                  <a:xfrm>
                                    <a:off x="2190" y="313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7" name="文本框 7"/>
                              <wps:cNvSpPr txBox="1"/>
                              <wps:spPr>
                                <a:xfrm>
                                  <a:off x="1780" y="3150"/>
                                  <a:ext cx="950" cy="3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DB0CA5A">
                                    <w:r>
                                      <w:rPr>
                                        <w:rFonts w:hint="eastAsia"/>
                                      </w:rPr>
                                      <w:t>原始</w:t>
                                    </w:r>
                                    <w:r>
                                      <w:t>数据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  <wps:wsp>
                              <wps:cNvPr id="8" name="文本框 8"/>
                              <wps:cNvSpPr txBox="1"/>
                              <wps:spPr>
                                <a:xfrm>
                                  <a:off x="4225" y="3138"/>
                                  <a:ext cx="66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1B7E41">
                                    <w:r>
                                      <w:rPr>
                                        <w:rFonts w:hint="eastAsia"/>
                                      </w:rPr>
                                      <w:t>海明码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pt;margin-top:8.35pt;height:29.4pt;width:155.5pt;z-index:251659264;mso-width-relative:page;mso-height-relative:page;" coordorigin="1780,2865" coordsize="3110,588" o:gfxdata="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tkCQOdkAAAAIAQAADwAAAAAAAAABACAAAAAi&#10;AAAAZHJzL2Rvd25yZXYueG1sUEsBAhQAFAAAAAgAh07iQC/GW1B8BAAAzg8AAA4AAAAAAAAAAQAg&#10;AAAAKAEAAGRycy9lMm9Eb2MueG1sUEsFBgAAAAAGAAYAWQEAABYIAAAAAA==&#10;">
                      <o:lock v:ext="edit" aspectratio="f"/>
                      <v:group id="_x0000_s1026" o:spid="_x0000_s1026" o:spt="203" style="position:absolute;left:2475;top:2865;height:420;width:1815;" coordorigin="2190,2910" coordsize="1815,42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f"/>
                        <v:rect id="_x0000_s1026" o:spid="_x0000_s1026" o:spt="1" style="position:absolute;left:2490;top:2910;height:420;width:1230;" fillcolor="#95B3D7" filled="t" stroked="t" coordsize="21600,21600" o:gfxdata="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jomiG5AAAA2gAA&#10;AA8AAAAAAAAAAQAgAAAAIgAAAGRycy9kb3ducmV2LnhtbFBLAQIUABQAAAAIAIdO4kAzLwWeOwAA&#10;ADkAAAAQAAAAAAAAAAEAIAAAAAgBAABkcnMvc2hhcGV4bWwueG1sUEsFBgAAAAAGAAYAWwEAALID&#10;AAAAAA==&#10;">
                          <v:fill type="gradient" on="t" color2="#DBE5F1" angle="135" focus="50%" focussize="0,0"/>
                          <v:stroke weight="1pt" color="#95B3D7" joinstyle="miter"/>
                          <v:imagedata o:title=""/>
                          <o:lock v:ext="edit" aspectratio="f"/>
                          <v:shadow on="t" color="#243F60" opacity="32768f" offset="1pt,2pt" origin="0f,0f" matrix="65536f,0f,0f,65536f"/>
                          <v:textbox>
                            <w:txbxContent>
                              <w:p w14:paraId="51E9A413">
                                <w:pPr>
                                  <w:jc w:val="center"/>
                                </w:pPr>
                                <w:r>
                                  <w:t>海明编码</w:t>
                                </w:r>
                              </w:p>
                            </w:txbxContent>
                          </v:textbox>
                        </v:rect>
                        <v:shape id="_x0000_s1026" o:spid="_x0000_s1026" o:spt="32" type="#_x0000_t32" style="position:absolute;left:3720;top:3135;height:0;width:285;" filled="f" stroked="t" coordsize="21600,21600" o:gfxdata="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SNd+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3pt" color="#000000" joinstyle="round"/>
                          <v:imagedata o:title=""/>
                          <o:lock v:ext="edit" aspectratio="f"/>
                        </v:shape>
                        <v:shape id="_x0000_s1026" o:spid="_x0000_s1026" o:spt="32" type="#_x0000_t32" style="position:absolute;left:2190;top:3135;height:0;width:285;" filled="f" stroked="t" coordsize="21600,21600" o:gfxdata="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ekES8AAAA&#10;2g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3pt" color="#000000" joinstyle="round"/>
                          <v:imagedata o:title=""/>
                          <o:lock v:ext="edit" aspectratio="f"/>
                        </v:shape>
                      </v:group>
                      <v:shape id="_x0000_s1026" o:spid="_x0000_s1026" o:spt="202" type="#_x0000_t202" style="position:absolute;left:1780;top:3150;height:303;width:950;v-text-anchor:middle;" fillcolor="#FFFFFF" filled="t" stroked="f" coordsize="21600,21600" o:gfxdata="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zW5Gb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DB0CA5A">
                              <w:r>
                                <w:rPr>
                                  <w:rFonts w:hint="eastAsia"/>
                                </w:rPr>
                                <w:t>原始</w:t>
                              </w:r>
                              <w:r>
                                <w:t>数据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225;top:3138;height:300;width:665;v-text-anchor:middle;" fillcolor="#FFFFFF" filled="t" stroked="f" coordsize="21600,21600" o:gfxdata="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aqLWu5AAAA2g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A1B7E41">
                              <w:r>
                                <w:rPr>
                                  <w:rFonts w:hint="eastAsia"/>
                                </w:rPr>
                                <w:t>海明码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275" w:type="dxa"/>
            <w:shd w:val="clear" w:color="auto" w:fill="B8CCE4" w:themeFill="accent1" w:themeFillTint="66"/>
          </w:tcPr>
          <w:p w14:paraId="19B76CC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引脚</w:t>
            </w:r>
          </w:p>
        </w:tc>
        <w:tc>
          <w:tcPr>
            <w:tcW w:w="851" w:type="dxa"/>
            <w:shd w:val="clear" w:color="auto" w:fill="B8CCE4" w:themeFill="accent1" w:themeFillTint="66"/>
          </w:tcPr>
          <w:p w14:paraId="29BFEF0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709" w:type="dxa"/>
            <w:shd w:val="clear" w:color="auto" w:fill="B8CCE4" w:themeFill="accent1" w:themeFillTint="66"/>
          </w:tcPr>
          <w:p w14:paraId="5AF77CE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位宽</w:t>
            </w:r>
          </w:p>
        </w:tc>
        <w:tc>
          <w:tcPr>
            <w:tcW w:w="2318" w:type="dxa"/>
            <w:shd w:val="clear" w:color="auto" w:fill="B8CCE4" w:themeFill="accent1" w:themeFillTint="66"/>
          </w:tcPr>
          <w:p w14:paraId="6FC1B37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功能说明</w:t>
            </w:r>
          </w:p>
        </w:tc>
      </w:tr>
      <w:tr w14:paraId="671CA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0461033A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6526BAF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原始数据</w:t>
            </w:r>
          </w:p>
        </w:tc>
        <w:tc>
          <w:tcPr>
            <w:tcW w:w="851" w:type="dxa"/>
          </w:tcPr>
          <w:p w14:paraId="4CB05CF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</w:t>
            </w:r>
          </w:p>
        </w:tc>
        <w:tc>
          <w:tcPr>
            <w:tcW w:w="709" w:type="dxa"/>
          </w:tcPr>
          <w:p w14:paraId="463B1FBA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2318" w:type="dxa"/>
          </w:tcPr>
          <w:p w14:paraId="59EF56B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待校验数据</w:t>
            </w:r>
          </w:p>
        </w:tc>
      </w:tr>
      <w:tr w14:paraId="6A908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36B18D02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092A1C5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海明码</w:t>
            </w:r>
          </w:p>
        </w:tc>
        <w:tc>
          <w:tcPr>
            <w:tcW w:w="851" w:type="dxa"/>
          </w:tcPr>
          <w:p w14:paraId="726D03F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709" w:type="dxa"/>
          </w:tcPr>
          <w:p w14:paraId="6B0DB93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</w:t>
            </w:r>
          </w:p>
        </w:tc>
        <w:tc>
          <w:tcPr>
            <w:tcW w:w="2318" w:type="dxa"/>
          </w:tcPr>
          <w:p w14:paraId="7EC69472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能检2位错的海明码</w:t>
            </w:r>
          </w:p>
        </w:tc>
      </w:tr>
    </w:tbl>
    <w:p w14:paraId="3EB421EA">
      <w:pPr>
        <w:rPr>
          <w:sz w:val="24"/>
          <w:szCs w:val="24"/>
        </w:rPr>
      </w:pPr>
    </w:p>
    <w:p w14:paraId="3A2A199E">
      <w:pPr>
        <w:rPr>
          <w:sz w:val="24"/>
          <w:szCs w:val="24"/>
        </w:rPr>
      </w:pPr>
    </w:p>
    <w:p w14:paraId="3B7F66AA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海明校验码电路框架图如图2所示。注意：16位原始原始数据输入的每一位都已经通过分线器利用隧道标签引出，可以被直接复制到绘图区使用。</w:t>
      </w:r>
    </w:p>
    <w:p w14:paraId="6C0DA857">
      <w:pPr>
        <w:rPr>
          <w:sz w:val="24"/>
          <w:szCs w:val="24"/>
        </w:rPr>
      </w:pPr>
    </w:p>
    <w:p w14:paraId="59FC1B5F">
      <w:pPr>
        <w:keepNext/>
      </w:pPr>
      <w:r>
        <w:rPr>
          <w:sz w:val="24"/>
          <w:szCs w:val="24"/>
        </w:rPr>
        <w:drawing>
          <wp:inline distT="0" distB="0" distL="0" distR="0">
            <wp:extent cx="5267325" cy="1085850"/>
            <wp:effectExtent l="0" t="0" r="571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33BD6">
      <w:pPr>
        <w:pStyle w:val="15"/>
        <w:jc w:val="center"/>
      </w:pPr>
      <w:r>
        <w:rPr>
          <w:rFonts w:hint="eastAsia"/>
        </w:rPr>
        <w:t>图1.2 海明校验编码电路框架</w:t>
      </w:r>
    </w:p>
    <w:p w14:paraId="32B1318E">
      <w:pPr>
        <w:rPr>
          <w:sz w:val="24"/>
          <w:szCs w:val="24"/>
        </w:rPr>
      </w:pPr>
    </w:p>
    <w:p w14:paraId="41F87230">
      <w:pPr>
        <w:rPr>
          <w:sz w:val="24"/>
          <w:szCs w:val="24"/>
        </w:rPr>
      </w:pPr>
    </w:p>
    <w:p w14:paraId="6626EB7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1.3.2 设计海明校验解码电路</w:t>
      </w:r>
    </w:p>
    <w:p w14:paraId="058BCCEC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利用Logisim打开实验资料包中的data.circ文件，在对应电路中完成海明校验解码电路设计，其电路封装与引脚功能描述如表1.2表所示。</w:t>
      </w:r>
    </w:p>
    <w:p w14:paraId="1809553A">
      <w:pPr>
        <w:pStyle w:val="15"/>
        <w:keepNext/>
        <w:jc w:val="center"/>
      </w:pPr>
      <w:r>
        <w:rPr>
          <w:rFonts w:hint="eastAsia"/>
        </w:rPr>
        <w:t>表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.2海明码解码电路封装与引脚功能描述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1275"/>
        <w:gridCol w:w="851"/>
        <w:gridCol w:w="709"/>
        <w:gridCol w:w="2318"/>
      </w:tblGrid>
      <w:tr w14:paraId="251E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restart"/>
          </w:tcPr>
          <w:p w14:paraId="7F289CA0">
            <w:pPr>
              <w:rPr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161290</wp:posOffset>
                      </wp:positionV>
                      <wp:extent cx="1978025" cy="889635"/>
                      <wp:effectExtent l="0" t="0" r="3175" b="9525"/>
                      <wp:wrapNone/>
                      <wp:docPr id="22" name="组合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8025" cy="889635"/>
                                <a:chOff x="1840" y="5760"/>
                                <a:chExt cx="3115" cy="1401"/>
                              </a:xfrm>
                            </wpg:grpSpPr>
                            <wpg:grpSp>
                              <wpg:cNvPr id="13" name="组合 13"/>
                              <wpg:cNvGrpSpPr/>
                              <wpg:grpSpPr>
                                <a:xfrm>
                                  <a:off x="2370" y="6603"/>
                                  <a:ext cx="1815" cy="420"/>
                                  <a:chOff x="2190" y="2910"/>
                                  <a:chExt cx="1815" cy="420"/>
                                </a:xfrm>
                              </wpg:grpSpPr>
                              <wps:wsp>
                                <wps:cNvPr id="10" name="矩形 10"/>
                                <wps:cNvSpPr/>
                                <wps:spPr>
                                  <a:xfrm>
                                    <a:off x="2490" y="2910"/>
                                    <a:ext cx="1230" cy="420"/>
                                  </a:xfrm>
                                  <a:prstGeom prst="rect">
                                    <a:avLst/>
                                  </a:prstGeom>
                                  <a:gradFill rotWithShape="0">
                                    <a:gsLst>
                                      <a:gs pos="0">
                                        <a:srgbClr val="95B3D7"/>
                                      </a:gs>
                                      <a:gs pos="50000">
                                        <a:srgbClr val="DBE5F1"/>
                                      </a:gs>
                                      <a:gs pos="100000">
                                        <a:srgbClr val="95B3D7"/>
                                      </a:gs>
                                    </a:gsLst>
                                    <a:lin ang="18900000" scaled="1"/>
                                    <a:tileRect/>
                                  </a:gradFill>
                                  <a:ln w="12700" cap="flat" cmpd="sng">
                                    <a:solidFill>
                                      <a:srgbClr val="95B3D7"/>
                                    </a:solidFill>
                                    <a:prstDash val="solid"/>
                                    <a:miter/>
                                    <a:headEnd type="none" w="med" len="med"/>
                                    <a:tailEnd type="none" w="med" len="med"/>
                                  </a:ln>
                                  <a:effectLst>
                                    <a:outerShdw dist="28398" dir="3806096" algn="ctr" rotWithShape="0">
                                      <a:srgbClr val="243F60">
                                        <a:alpha val="50000"/>
                                      </a:srgbClr>
                                    </a:outerShdw>
                                  </a:effectLst>
                                </wps:spPr>
                                <wps:txbx>
                                  <w:txbxContent>
                                    <w:p w14:paraId="04992884">
                                      <w:pPr>
                                        <w:jc w:val="center"/>
                                      </w:pPr>
                                      <w:r>
                                        <w:t>海明</w:t>
                                      </w:r>
                                      <w:r>
                                        <w:rPr>
                                          <w:rFonts w:hint="eastAsia"/>
                                        </w:rPr>
                                        <w:t>解码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11" name="直接箭头连接符 11"/>
                                <wps:cNvCnPr/>
                                <wps:spPr>
                                  <a:xfrm>
                                    <a:off x="3720" y="313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12" name="直接箭头连接符 12"/>
                                <wps:cNvCnPr/>
                                <wps:spPr>
                                  <a:xfrm>
                                    <a:off x="2190" y="3135"/>
                                    <a:ext cx="285" cy="0"/>
                                  </a:xfrm>
                                  <a:prstGeom prst="straightConnector1">
                                    <a:avLst/>
                                  </a:prstGeom>
                                  <a:ln w="381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14" name="文本框 14"/>
                              <wps:cNvSpPr txBox="1"/>
                              <wps:spPr>
                                <a:xfrm>
                                  <a:off x="4005" y="6858"/>
                                  <a:ext cx="950" cy="3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F75989">
                                    <w:r>
                                      <w:rPr>
                                        <w:rFonts w:hint="eastAsia"/>
                                      </w:rPr>
                                      <w:t>原始</w:t>
                                    </w:r>
                                    <w:r>
                                      <w:t>数据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  <wps:wsp>
                              <wps:cNvPr id="15" name="文本框 15"/>
                              <wps:cNvSpPr txBox="1"/>
                              <wps:spPr>
                                <a:xfrm>
                                  <a:off x="2080" y="6060"/>
                                  <a:ext cx="66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B61A77E">
                                    <w:r>
                                      <w:rPr>
                                        <w:rFonts w:hint="eastAsia"/>
                                      </w:rPr>
                                      <w:t>1位错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  <wps:wsp>
                              <wps:cNvPr id="16" name="直接箭头连接符 16"/>
                              <wps:cNvCnPr/>
                              <wps:spPr>
                                <a:xfrm>
                                  <a:off x="3270" y="6060"/>
                                  <a:ext cx="1" cy="540"/>
                                </a:xfrm>
                                <a:prstGeom prst="straightConnector1">
                                  <a:avLst/>
                                </a:prstGeom>
                                <a:ln w="317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7" name="直接箭头连接符 17"/>
                              <wps:cNvCnPr/>
                              <wps:spPr>
                                <a:xfrm>
                                  <a:off x="3615" y="6237"/>
                                  <a:ext cx="1" cy="363"/>
                                </a:xfrm>
                                <a:prstGeom prst="straightConnector1">
                                  <a:avLst/>
                                </a:prstGeom>
                                <a:ln w="317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8" name="直接箭头连接符 18"/>
                              <wps:cNvCnPr/>
                              <wps:spPr>
                                <a:xfrm>
                                  <a:off x="2880" y="6237"/>
                                  <a:ext cx="1" cy="363"/>
                                </a:xfrm>
                                <a:prstGeom prst="straightConnector1">
                                  <a:avLst/>
                                </a:prstGeom>
                                <a:ln w="3175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/>
                            </wps:wsp>
                            <wps:wsp>
                              <wps:cNvPr id="19" name="文本框 19"/>
                              <wps:cNvSpPr txBox="1"/>
                              <wps:spPr>
                                <a:xfrm>
                                  <a:off x="3760" y="6060"/>
                                  <a:ext cx="66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9EB076A">
                                    <w:r>
                                      <w:rPr>
                                        <w:rFonts w:hint="eastAsia"/>
                                      </w:rPr>
                                      <w:t>0位错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  <wps:wsp>
                              <wps:cNvPr id="20" name="文本框 20"/>
                              <wps:cNvSpPr txBox="1"/>
                              <wps:spPr>
                                <a:xfrm>
                                  <a:off x="2881" y="5760"/>
                                  <a:ext cx="66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CD3B582">
                                    <w:r>
                                      <w:rPr>
                                        <w:rFonts w:hint="eastAsia"/>
                                      </w:rPr>
                                      <w:t>2位错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  <wps:wsp>
                              <wps:cNvPr id="21" name="文本框 21"/>
                              <wps:cNvSpPr txBox="1"/>
                              <wps:spPr>
                                <a:xfrm>
                                  <a:off x="1840" y="6861"/>
                                  <a:ext cx="665" cy="3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F25291">
                                    <w:r>
                                      <w:rPr>
                                        <w:rFonts w:hint="eastAsia"/>
                                      </w:rPr>
                                      <w:t>海明码</w:t>
                                    </w:r>
                                  </w:p>
                                </w:txbxContent>
                              </wps:txbx>
                              <wps:bodyPr lIns="0" tIns="0" rIns="0" bIns="0" anchor="ctr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pt;margin-top:12.7pt;height:70.05pt;width:155.75pt;z-index:251660288;mso-width-relative:page;mso-height-relative:page;" coordorigin="1840,5760" coordsize="3115,1401" o:gfxdata="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EYjJ0LYAAAACAEAAA8AAAAAAAAAAQAgAAAAIgAAAGRycy9kb3ducmV2&#10;LnhtbFBLAQIUABQAAAAIAIdO4kApetxGUwUAAKEbAAAOAAAAAAAAAAEAIAAAACcBAABkcnMvZTJv&#10;RG9jLnhtbFBLBQYAAAAABgAGAFkBAADsCAAAAAA=&#10;">
                      <o:lock v:ext="edit" aspectratio="f"/>
                      <v:group id="_x0000_s1026" o:spid="_x0000_s1026" o:spt="203" style="position:absolute;left:2370;top:6603;height:420;width:1815;" coordorigin="2190,2910" coordsize="1815,420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      <o:lock v:ext="edit" aspectratio="f"/>
                        <v:rect id="_x0000_s1026" o:spid="_x0000_s1026" o:spt="1" style="position:absolute;left:2490;top:2910;height:420;width:1230;" fillcolor="#95B3D7" filled="t" stroked="t" coordsize="21600,21600" o:gfxdata="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dl0y8AAAA&#10;2wAAAA8AAAAAAAAAAQAgAAAAIgAAAGRycy9kb3ducmV2LnhtbFBLAQIUABQAAAAIAIdO4kAzLwWe&#10;OwAAADkAAAAQAAAAAAAAAAEAIAAAAAsBAABkcnMvc2hhcGV4bWwueG1sUEsFBgAAAAAGAAYAWwEA&#10;ALUDAAAAAA==&#10;">
                          <v:fill type="gradient" on="t" color2="#DBE5F1" angle="135" focus="50%" focussize="0,0"/>
                          <v:stroke weight="1pt" color="#95B3D7" joinstyle="miter"/>
                          <v:imagedata o:title=""/>
                          <o:lock v:ext="edit" aspectratio="f"/>
                          <v:shadow on="t" color="#243F60" opacity="32768f" offset="1pt,2pt" origin="0f,0f" matrix="65536f,0f,0f,65536f"/>
                          <v:textbox>
                            <w:txbxContent>
                              <w:p w14:paraId="04992884">
                                <w:pPr>
                                  <w:jc w:val="center"/>
                                </w:pPr>
                                <w:r>
                                  <w:t>海明</w:t>
                                </w:r>
                                <w:r>
                                  <w:rPr>
                                    <w:rFonts w:hint="eastAsia"/>
                                  </w:rPr>
                                  <w:t>解码</w:t>
                                </w:r>
                              </w:p>
                            </w:txbxContent>
                          </v:textbox>
                        </v:rect>
                        <v:shape id="_x0000_s1026" o:spid="_x0000_s1026" o:spt="32" type="#_x0000_t32" style="position:absolute;left:3720;top:3135;height:0;width:285;" filled="f" stroked="t" coordsize="21600,21600" o:gfxdata="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JQA6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3pt" color="#000000" joinstyle="round"/>
                          <v:imagedata o:title=""/>
                          <o:lock v:ext="edit" aspectratio="f"/>
                        </v:shape>
                        <v:shape id="_x0000_s1026" o:spid="_x0000_s1026" o:spt="32" type="#_x0000_t32" style="position:absolute;left:2190;top:3135;height:0;width:285;" filled="f" stroked="t" coordsize="21600,21600" o:gfxdata="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955N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3pt" color="#000000" joinstyle="round"/>
                          <v:imagedata o:title=""/>
                          <o:lock v:ext="edit" aspectratio="f"/>
                        </v:shape>
                      </v:group>
                      <v:shape id="_x0000_s1026" o:spid="_x0000_s1026" o:spt="202" type="#_x0000_t202" style="position:absolute;left:4005;top:6858;height:303;width:950;v-text-anchor:middle;" fillcolor="#FFFFFF" filled="t" stroked="f" coordsize="21600,21600" o:gfxdata="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cMuE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5F75989">
                              <w:r>
                                <w:rPr>
                                  <w:rFonts w:hint="eastAsia"/>
                                </w:rPr>
                                <w:t>原始</w:t>
                              </w:r>
                              <w:r>
                                <w:t>数据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080;top:6060;height:300;width:665;v-text-anchor:middle;" fillcolor="#FFFFFF" filled="t" stroked="f" coordsize="21600,21600" o:gfxdata="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PG4f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0B61A77E">
                              <w:r>
                                <w:rPr>
                                  <w:rFonts w:hint="eastAsia"/>
                                </w:rPr>
                                <w:t>1位错</w:t>
                              </w:r>
                            </w:p>
                          </w:txbxContent>
                        </v:textbox>
                      </v:shape>
                      <v:shape id="_x0000_s1026" o:spid="_x0000_s1026" o:spt="32" type="#_x0000_t32" style="position:absolute;left:3270;top:6060;height:540;width:1;" filled="f" stroked="t" coordsize="21600,21600" o:gfxdata="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SnLe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2.5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3615;top:6237;height:363;width:1;" filled="f" stroked="t" coordsize="21600,21600" o:gfxdata="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wbXR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2.5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2880;top:6237;height:363;width:1;" filled="f" stroked="t" coordsize="21600,21600" o:gfxdata="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ZQze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2.5pt" color="#000000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3760;top:6060;height:300;width:665;v-text-anchor:middle;" fillcolor="#FFFFFF" filled="t" stroked="f" coordsize="21600,21600" o:gfxdata="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FxZBq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39EB076A">
                              <w:r>
                                <w:rPr>
                                  <w:rFonts w:hint="eastAsia"/>
                                </w:rPr>
                                <w:t>0位错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881;top:5760;height:300;width:665;v-text-anchor:middle;" fillcolor="#FFFFFF" filled="t" stroked="f" coordsize="21600,21600" o:gfxdata="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4nBzq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4CD3B582">
                              <w:r>
                                <w:rPr>
                                  <w:rFonts w:hint="eastAsia"/>
                                </w:rPr>
                                <w:t>2位错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840;top:6861;height:300;width:665;v-text-anchor:middle;" fillcolor="#FFFFFF" filled="t" stroked="f" coordsize="21600,21600" o:gfxdata="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roqG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4EF25291">
                              <w:r>
                                <w:rPr>
                                  <w:rFonts w:hint="eastAsia"/>
                                </w:rPr>
                                <w:t>海明码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1275" w:type="dxa"/>
            <w:shd w:val="clear" w:color="auto" w:fill="B8CCE4" w:themeFill="accent1" w:themeFillTint="66"/>
          </w:tcPr>
          <w:p w14:paraId="7CB337F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引脚</w:t>
            </w:r>
          </w:p>
        </w:tc>
        <w:tc>
          <w:tcPr>
            <w:tcW w:w="851" w:type="dxa"/>
            <w:shd w:val="clear" w:color="auto" w:fill="B8CCE4" w:themeFill="accent1" w:themeFillTint="66"/>
          </w:tcPr>
          <w:p w14:paraId="43D583D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709" w:type="dxa"/>
            <w:shd w:val="clear" w:color="auto" w:fill="B8CCE4" w:themeFill="accent1" w:themeFillTint="66"/>
          </w:tcPr>
          <w:p w14:paraId="39247A02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位宽</w:t>
            </w:r>
          </w:p>
        </w:tc>
        <w:tc>
          <w:tcPr>
            <w:tcW w:w="2318" w:type="dxa"/>
            <w:shd w:val="clear" w:color="auto" w:fill="B8CCE4" w:themeFill="accent1" w:themeFillTint="66"/>
          </w:tcPr>
          <w:p w14:paraId="03ACAA3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功能说明</w:t>
            </w:r>
          </w:p>
        </w:tc>
      </w:tr>
      <w:tr w14:paraId="6F44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0A1CC316"/>
        </w:tc>
        <w:tc>
          <w:tcPr>
            <w:tcW w:w="1275" w:type="dxa"/>
            <w:shd w:val="clear" w:color="auto" w:fill="auto"/>
          </w:tcPr>
          <w:p w14:paraId="4628DC5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海明码</w:t>
            </w:r>
          </w:p>
        </w:tc>
        <w:tc>
          <w:tcPr>
            <w:tcW w:w="851" w:type="dxa"/>
            <w:shd w:val="clear" w:color="auto" w:fill="auto"/>
          </w:tcPr>
          <w:p w14:paraId="44AF0C9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</w:t>
            </w:r>
          </w:p>
        </w:tc>
        <w:tc>
          <w:tcPr>
            <w:tcW w:w="709" w:type="dxa"/>
            <w:shd w:val="clear" w:color="auto" w:fill="auto"/>
          </w:tcPr>
          <w:p w14:paraId="57F37A0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</w:t>
            </w:r>
          </w:p>
        </w:tc>
        <w:tc>
          <w:tcPr>
            <w:tcW w:w="2318" w:type="dxa"/>
            <w:shd w:val="clear" w:color="auto" w:fill="auto"/>
          </w:tcPr>
          <w:p w14:paraId="5B24D7E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能检2位错的海明码</w:t>
            </w:r>
          </w:p>
        </w:tc>
      </w:tr>
      <w:tr w14:paraId="75362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0E145C2C"/>
        </w:tc>
        <w:tc>
          <w:tcPr>
            <w:tcW w:w="1275" w:type="dxa"/>
            <w:shd w:val="clear" w:color="auto" w:fill="auto"/>
          </w:tcPr>
          <w:p w14:paraId="383C7C2C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0位错</w:t>
            </w:r>
          </w:p>
        </w:tc>
        <w:tc>
          <w:tcPr>
            <w:tcW w:w="851" w:type="dxa"/>
            <w:shd w:val="clear" w:color="auto" w:fill="auto"/>
          </w:tcPr>
          <w:p w14:paraId="06EF625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709" w:type="dxa"/>
            <w:shd w:val="clear" w:color="auto" w:fill="auto"/>
          </w:tcPr>
          <w:p w14:paraId="7DEF2DD5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318" w:type="dxa"/>
            <w:shd w:val="clear" w:color="auto" w:fill="auto"/>
          </w:tcPr>
          <w:p w14:paraId="431369D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为1表示无错</w:t>
            </w:r>
          </w:p>
        </w:tc>
      </w:tr>
      <w:tr w14:paraId="342F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7D67591B"/>
        </w:tc>
        <w:tc>
          <w:tcPr>
            <w:tcW w:w="1275" w:type="dxa"/>
            <w:shd w:val="clear" w:color="auto" w:fill="auto"/>
          </w:tcPr>
          <w:p w14:paraId="0129953E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1位错</w:t>
            </w:r>
          </w:p>
        </w:tc>
        <w:tc>
          <w:tcPr>
            <w:tcW w:w="851" w:type="dxa"/>
            <w:shd w:val="clear" w:color="auto" w:fill="auto"/>
          </w:tcPr>
          <w:p w14:paraId="7069A27D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709" w:type="dxa"/>
            <w:shd w:val="clear" w:color="auto" w:fill="auto"/>
          </w:tcPr>
          <w:p w14:paraId="53CB6633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318" w:type="dxa"/>
            <w:shd w:val="clear" w:color="auto" w:fill="auto"/>
          </w:tcPr>
          <w:p w14:paraId="70C1A7D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为1表示1为错</w:t>
            </w:r>
          </w:p>
        </w:tc>
      </w:tr>
      <w:tr w14:paraId="1A002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17F044A8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2076C21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2位错</w:t>
            </w:r>
          </w:p>
        </w:tc>
        <w:tc>
          <w:tcPr>
            <w:tcW w:w="851" w:type="dxa"/>
          </w:tcPr>
          <w:p w14:paraId="72E4CFB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</w:t>
            </w:r>
          </w:p>
        </w:tc>
        <w:tc>
          <w:tcPr>
            <w:tcW w:w="709" w:type="dxa"/>
          </w:tcPr>
          <w:p w14:paraId="0D8C63B8">
            <w:pPr>
              <w:ind w:firstLine="241" w:firstLineChars="10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1</w:t>
            </w:r>
          </w:p>
        </w:tc>
        <w:tc>
          <w:tcPr>
            <w:tcW w:w="2318" w:type="dxa"/>
          </w:tcPr>
          <w:p w14:paraId="03B1840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为1表示有2为错</w:t>
            </w:r>
          </w:p>
        </w:tc>
      </w:tr>
      <w:tr w14:paraId="39A26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vMerge w:val="continue"/>
          </w:tcPr>
          <w:p w14:paraId="617F544D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6436115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原始数据</w:t>
            </w:r>
          </w:p>
        </w:tc>
        <w:tc>
          <w:tcPr>
            <w:tcW w:w="851" w:type="dxa"/>
          </w:tcPr>
          <w:p w14:paraId="757C1E79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709" w:type="dxa"/>
          </w:tcPr>
          <w:p w14:paraId="747A4C54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2318" w:type="dxa"/>
          </w:tcPr>
          <w:p w14:paraId="4107B37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海明码纠错后的原始数据</w:t>
            </w:r>
          </w:p>
        </w:tc>
      </w:tr>
    </w:tbl>
    <w:p w14:paraId="00E9E4EB"/>
    <w:p w14:paraId="7C85A40D">
      <w:r>
        <w:rPr>
          <w:b/>
        </w:rPr>
        <w:t>1.4 实验步骤</w:t>
      </w:r>
    </w:p>
    <w:p w14:paraId="6B06C28D">
      <w:r>
        <w:t>1. 确定(22,16)海明码方案。根据海明码定义，16位数据需要5位海明校验位（2^5≥16+5+1），增加1位总校验位P6，共22位。</w:t>
      </w:r>
    </w:p>
    <w:p w14:paraId="648CE9CE">
      <w:r>
        <w:t>2. 推导各校验位分组规则。P1~P5各自覆盖特定集合的比特位，每位根据其位置序号二进制展开中被1覆盖的校验位来确定归属。例如：bit3（0011）由P1和P2覆盖；bit7（0111）由P1、P2、P3覆盖，以此类推。</w:t>
      </w:r>
    </w:p>
    <w:p w14:paraId="2DCEBECA">
      <w:r>
        <w:t>3. 在Logisim中利用多输入XOR门实现P1~P5和总校验位P6。</w:t>
      </w:r>
    </w:p>
    <w:p w14:paraId="03D0D131">
      <w:r>
        <w:t>4. 在解码端重新计算校验子G1~G5，通过与接收端校验位异或判定错误位置。若校验子非零且P6不一致，表明1位错，可根据校验子数值直接翻转对应位；若P6不一致但校验子为零，说明仅P6出错；若校验子非零但P6一致，说明2位错。</w:t>
      </w:r>
    </w:p>
    <w:p w14:paraId="1E39EAF9">
      <w:r>
        <w:t>5. 在海明传输测试电路中以8Hz频率测试，验证无错、1位错、2位错场景。</w:t>
      </w:r>
    </w:p>
    <w:p w14:paraId="50277E07">
      <w:r>
        <w:rPr>
          <w:b/>
        </w:rPr>
        <w:t>1.5 方案设计</w:t>
      </w:r>
    </w:p>
    <w:p w14:paraId="5A6AF7DF">
      <w:r>
        <w:rPr>
          <w:b/>
        </w:rPr>
        <w:t>1.5.1 码字布局与校验位分组</w:t>
      </w:r>
    </w:p>
    <w:p w14:paraId="10767D1F">
      <w:r>
        <w:t>22位海明码字（位置从高位到低位，bit22为最高位）布局如下：</w:t>
      </w:r>
    </w:p>
    <w:p w14:paraId="1AF82B20">
      <w:r>
        <w:t>P6(bit22) | D16 | D15 | ... | P5(bit16) | D11~D8 | P4(bit8) | D7~D5 | P3(bit4) | D4~D2 | P2(bit2) | D1 | P1(bit1)</w:t>
      </w:r>
    </w:p>
    <w:p w14:paraId="1E4295BA"/>
    <w:p w14:paraId="36514DED">
      <w:r>
        <w:t>各校验位分组规则（对组内所有数据位做奇偶异或）：</w:t>
      </w:r>
    </w:p>
    <w:p w14:paraId="6E9CAC19">
      <w:r>
        <w:t>P1：bit1,3,5,7,9,11,13,15,17,19,21（所有位序末位为1的位）</w:t>
      </w:r>
    </w:p>
    <w:p w14:paraId="128CED40">
      <w:r>
        <w:t>P2：bit2,3,6,7,10,11,14,15,18,19（位序第2位为1的位）</w:t>
      </w:r>
    </w:p>
    <w:p w14:paraId="35B1159C">
      <w:r>
        <w:t>P3：bit4,5,6,7,12,13,14,15,20,21（位序第3位为1的位）</w:t>
      </w:r>
    </w:p>
    <w:p w14:paraId="152919DE">
      <w:r>
        <w:t>P4：bit8,9,10,11,12,13,14,15（位序第4位为1的位）</w:t>
      </w:r>
    </w:p>
    <w:p w14:paraId="0EBE80B1">
      <w:r>
        <w:t>P5：bit16,17,18,19,20,21（位序第5位为1的位）</w:t>
      </w:r>
    </w:p>
    <w:p w14:paraId="6762C5E0">
      <w:r>
        <w:t>P6：bit1~bit21全部21位（总校验位，偶校验后求反以实现奇校验错检测）</w:t>
      </w:r>
    </w:p>
    <w:p w14:paraId="4F46FC63">
      <w:pPr>
        <w:rPr>
          <w:b/>
        </w:rPr>
      </w:pPr>
      <w:r>
        <w:rPr>
          <w:b/>
        </w:rPr>
        <w:t>1.5.2 编码电路实现</w:t>
      </w:r>
    </w:p>
    <w:p w14:paraId="4AAC2A71">
      <w:r>
        <w:t>编码电路由6个多输入XOR门分别计算P1~P6，输入为对应分组内各数据位的值。22位输出码字由16位数据位按顺序插入非校验位位置、5位校验位插入2的幂次位置、1位总校验位插入最高位构成。对应电路为data.circ中的◇海明编码子电路。</w:t>
      </w:r>
    </w:p>
    <w:p w14:paraId="1F0820F1">
      <w:pPr>
        <w:rPr>
          <w:b/>
        </w:rPr>
      </w:pPr>
      <w:r>
        <w:rPr>
          <w:b/>
        </w:rPr>
        <w:t>1.5.3 解码电路实现</w:t>
      </w:r>
    </w:p>
    <w:p w14:paraId="58942569">
      <w:r>
        <w:t>解码电路重新计算校验子Sn（n=1~5），即Sn = 接收到的Pn值 ⊕ 重新按分组规则计算的Pn值。校验子S = {S5,S4,S3,S2,S1}即为出错位置序号。同时重新计算总校验位并与接收值比较。判决逻辑：</w:t>
      </w:r>
    </w:p>
    <w:p w14:paraId="7234C534">
      <w:r>
        <w:t>(a) S=0且总校验位一致 → 0位错；</w:t>
      </w:r>
    </w:p>
    <w:p w14:paraId="077250D4">
      <w:r>
        <w:t>(b) S≠0且总校验位不一致 → 1位错，将第S位翻转即可纠正；</w:t>
      </w:r>
    </w:p>
    <w:p w14:paraId="44C0E01E">
      <w:r>
        <w:t>(c) S=0且总校验位不一致 → 仅总校验位错（也是1位错）；</w:t>
      </w:r>
    </w:p>
    <w:p w14:paraId="488E1648">
      <w:r>
        <w:t>(d) S≠0且总校验位一致 → 2位错（无法纠正）。</w:t>
      </w:r>
    </w:p>
    <w:p w14:paraId="79D0C3BF">
      <w:r>
        <w:rPr>
          <w:b/>
        </w:rPr>
        <w:t>1.6 故障与调试</w:t>
      </w:r>
    </w:p>
    <w:p w14:paraId="502B391B">
      <w:r>
        <w:t>1）P6总校验位分组遗漏某位：导致2位错和1位错判决混乱。解决：逐一核对P6的21输入XOR的每条连线。</w:t>
      </w:r>
    </w:p>
    <w:p w14:paraId="736A9C70">
      <w:r>
        <w:t>2）解码时校验子计算分组与编码端不一致：导致错误定位偏移。解决：确保编解码双方使用相同的分组规则。</w:t>
      </w:r>
    </w:p>
    <w:p w14:paraId="40456FEA">
      <w:r>
        <w:t>3）位序与分线器映射错误：D1~D16在高位/低位的对应关系与预期不符，导致纠错后数据错乱。解决：统一bit0为最低位，逐步核对隧道标签的对应关系。</w:t>
      </w:r>
    </w:p>
    <w:p w14:paraId="147848A4">
      <w:pPr>
        <w:rPr>
          <w:b/>
        </w:rPr>
      </w:pPr>
      <w:r>
        <w:rPr>
          <w:b/>
        </w:rPr>
        <w:t>1.7 测试与分析</w:t>
      </w:r>
    </w:p>
    <w:p w14:paraId="049399A7">
      <w:bookmarkStart w:id="0" w:name="_GoBack"/>
      <w:bookmarkEnd w:id="0"/>
      <w:r>
        <w:t>测试方案：在◇海明传输测试1和◇海明传输测试2电路中，通过ROM不断取出16位汉字GB2312机内码，经海明编码→随机干扰（模拟0/1/2位错）→海明解码→汉字显示。若电路正确，0~1位错时左右汉字应完全相同。</w:t>
      </w:r>
    </w:p>
    <w:p w14:paraId="4A74593B"/>
    <w:p w14:paraId="0C6A4E28">
      <w:r>
        <w:t>表1.3 测试用例与结果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563E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5016110">
            <w:pPr>
              <w:spacing w:after="0" w:line="240" w:lineRule="auto"/>
            </w:pPr>
            <w:r>
              <w:t>#</w:t>
            </w:r>
          </w:p>
        </w:tc>
        <w:tc>
          <w:tcPr>
            <w:tcW w:w="1728" w:type="dxa"/>
          </w:tcPr>
          <w:p w14:paraId="61D903C6">
            <w:pPr>
              <w:spacing w:after="0" w:line="240" w:lineRule="auto"/>
            </w:pPr>
            <w:r>
              <w:t>注入错误</w:t>
            </w:r>
          </w:p>
        </w:tc>
        <w:tc>
          <w:tcPr>
            <w:tcW w:w="1728" w:type="dxa"/>
          </w:tcPr>
          <w:p w14:paraId="2CD25391">
            <w:pPr>
              <w:spacing w:after="0" w:line="240" w:lineRule="auto"/>
            </w:pPr>
            <w:r>
              <w:t>期望状态</w:t>
            </w:r>
          </w:p>
        </w:tc>
        <w:tc>
          <w:tcPr>
            <w:tcW w:w="1728" w:type="dxa"/>
          </w:tcPr>
          <w:p w14:paraId="5FDCEDDF">
            <w:pPr>
              <w:spacing w:after="0" w:line="240" w:lineRule="auto"/>
            </w:pPr>
            <w:r>
              <w:t>纠错后汉字</w:t>
            </w:r>
          </w:p>
        </w:tc>
        <w:tc>
          <w:tcPr>
            <w:tcW w:w="1728" w:type="dxa"/>
          </w:tcPr>
          <w:p w14:paraId="51BE82BD">
            <w:pPr>
              <w:spacing w:after="0" w:line="240" w:lineRule="auto"/>
            </w:pPr>
            <w:r>
              <w:t>说明</w:t>
            </w:r>
          </w:p>
        </w:tc>
      </w:tr>
      <w:tr w14:paraId="030E0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B5F2B9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55CB0D7F">
            <w:pPr>
              <w:spacing w:after="0" w:line="240" w:lineRule="auto"/>
            </w:pPr>
            <w:r>
              <w:t>0位错</w:t>
            </w:r>
          </w:p>
        </w:tc>
        <w:tc>
          <w:tcPr>
            <w:tcW w:w="1728" w:type="dxa"/>
          </w:tcPr>
          <w:p w14:paraId="21543B6B">
            <w:pPr>
              <w:spacing w:after="0" w:line="240" w:lineRule="auto"/>
            </w:pPr>
            <w:r>
              <w:t>0位错=1</w:t>
            </w:r>
          </w:p>
        </w:tc>
        <w:tc>
          <w:tcPr>
            <w:tcW w:w="1728" w:type="dxa"/>
          </w:tcPr>
          <w:p w14:paraId="584F44C9">
            <w:pPr>
              <w:spacing w:after="0" w:line="240" w:lineRule="auto"/>
            </w:pPr>
            <w:r>
              <w:t>与发送方一致</w:t>
            </w:r>
          </w:p>
        </w:tc>
        <w:tc>
          <w:tcPr>
            <w:tcW w:w="1728" w:type="dxa"/>
          </w:tcPr>
          <w:p w14:paraId="39790320">
            <w:pPr>
              <w:spacing w:after="0" w:line="240" w:lineRule="auto"/>
            </w:pPr>
            <w:r>
              <w:t>无误码通过</w:t>
            </w:r>
          </w:p>
        </w:tc>
      </w:tr>
      <w:tr w14:paraId="05931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CEC5952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16F8315A">
            <w:pPr>
              <w:spacing w:after="0" w:line="240" w:lineRule="auto"/>
            </w:pPr>
            <w:r>
              <w:t>1位错(bit3翻转)</w:t>
            </w:r>
          </w:p>
        </w:tc>
        <w:tc>
          <w:tcPr>
            <w:tcW w:w="1728" w:type="dxa"/>
          </w:tcPr>
          <w:p w14:paraId="4D4D70EA">
            <w:pPr>
              <w:spacing w:after="0" w:line="240" w:lineRule="auto"/>
            </w:pPr>
            <w:r>
              <w:t>1位错=1</w:t>
            </w:r>
          </w:p>
        </w:tc>
        <w:tc>
          <w:tcPr>
            <w:tcW w:w="1728" w:type="dxa"/>
          </w:tcPr>
          <w:p w14:paraId="13E57936">
            <w:pPr>
              <w:spacing w:after="0" w:line="240" w:lineRule="auto"/>
            </w:pPr>
            <w:r>
              <w:t>与发送方一致</w:t>
            </w:r>
          </w:p>
        </w:tc>
        <w:tc>
          <w:tcPr>
            <w:tcW w:w="1728" w:type="dxa"/>
          </w:tcPr>
          <w:p w14:paraId="56E3AB5B">
            <w:pPr>
              <w:spacing w:after="0" w:line="240" w:lineRule="auto"/>
            </w:pPr>
            <w:r>
              <w:t>单比特错误被纠正</w:t>
            </w:r>
          </w:p>
        </w:tc>
      </w:tr>
      <w:tr w14:paraId="123DE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CB6A234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64471D78">
            <w:pPr>
              <w:spacing w:after="0" w:line="240" w:lineRule="auto"/>
            </w:pPr>
            <w:r>
              <w:t>1位错(bit17翻转)</w:t>
            </w:r>
          </w:p>
        </w:tc>
        <w:tc>
          <w:tcPr>
            <w:tcW w:w="1728" w:type="dxa"/>
          </w:tcPr>
          <w:p w14:paraId="5092ED71">
            <w:pPr>
              <w:spacing w:after="0" w:line="240" w:lineRule="auto"/>
            </w:pPr>
            <w:r>
              <w:t>1位错=1</w:t>
            </w:r>
          </w:p>
        </w:tc>
        <w:tc>
          <w:tcPr>
            <w:tcW w:w="1728" w:type="dxa"/>
          </w:tcPr>
          <w:p w14:paraId="31A56A70">
            <w:pPr>
              <w:spacing w:after="0" w:line="240" w:lineRule="auto"/>
            </w:pPr>
            <w:r>
              <w:t>与发送方一致</w:t>
            </w:r>
          </w:p>
        </w:tc>
        <w:tc>
          <w:tcPr>
            <w:tcW w:w="1728" w:type="dxa"/>
          </w:tcPr>
          <w:p w14:paraId="389D1828">
            <w:pPr>
              <w:spacing w:after="0" w:line="240" w:lineRule="auto"/>
            </w:pPr>
            <w:r>
              <w:t>单比特错误被纠正</w:t>
            </w:r>
          </w:p>
        </w:tc>
      </w:tr>
      <w:tr w14:paraId="6602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E2078A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5A7C66E2">
            <w:pPr>
              <w:spacing w:after="0" w:line="240" w:lineRule="auto"/>
            </w:pPr>
            <w:r>
              <w:t>2位错</w:t>
            </w:r>
          </w:p>
        </w:tc>
        <w:tc>
          <w:tcPr>
            <w:tcW w:w="1728" w:type="dxa"/>
          </w:tcPr>
          <w:p w14:paraId="66469F28">
            <w:pPr>
              <w:spacing w:after="0" w:line="240" w:lineRule="auto"/>
            </w:pPr>
            <w:r>
              <w:t>2位错=1</w:t>
            </w:r>
          </w:p>
        </w:tc>
        <w:tc>
          <w:tcPr>
            <w:tcW w:w="1728" w:type="dxa"/>
          </w:tcPr>
          <w:p w14:paraId="77A6C3EB">
            <w:pPr>
              <w:spacing w:after="0" w:line="240" w:lineRule="auto"/>
            </w:pPr>
            <w:r>
              <w:t>可能不一致</w:t>
            </w:r>
          </w:p>
        </w:tc>
        <w:tc>
          <w:tcPr>
            <w:tcW w:w="1728" w:type="dxa"/>
          </w:tcPr>
          <w:p w14:paraId="1088BAD2">
            <w:pPr>
              <w:spacing w:after="0" w:line="240" w:lineRule="auto"/>
            </w:pPr>
            <w:r>
              <w:t>检测到2位错，不纠错</w:t>
            </w:r>
          </w:p>
        </w:tc>
      </w:tr>
      <w:tr w14:paraId="6CF71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5E2366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3978BD7D">
            <w:pPr>
              <w:spacing w:after="0" w:line="240" w:lineRule="auto"/>
            </w:pPr>
            <w:r>
              <w:t>仅P6错</w:t>
            </w:r>
          </w:p>
        </w:tc>
        <w:tc>
          <w:tcPr>
            <w:tcW w:w="1728" w:type="dxa"/>
          </w:tcPr>
          <w:p w14:paraId="2D7AF748">
            <w:pPr>
              <w:spacing w:after="0" w:line="240" w:lineRule="auto"/>
            </w:pPr>
            <w:r>
              <w:t>1位错=1</w:t>
            </w:r>
          </w:p>
        </w:tc>
        <w:tc>
          <w:tcPr>
            <w:tcW w:w="1728" w:type="dxa"/>
          </w:tcPr>
          <w:p w14:paraId="62CE665A">
            <w:pPr>
              <w:spacing w:after="0" w:line="240" w:lineRule="auto"/>
            </w:pPr>
            <w:r>
              <w:t>与发送方一致</w:t>
            </w:r>
          </w:p>
        </w:tc>
        <w:tc>
          <w:tcPr>
            <w:tcW w:w="1728" w:type="dxa"/>
          </w:tcPr>
          <w:p w14:paraId="564A5F3E">
            <w:pPr>
              <w:spacing w:after="0" w:line="240" w:lineRule="auto"/>
            </w:pPr>
            <w:r>
              <w:t>总校验位错误可定位</w:t>
            </w:r>
          </w:p>
        </w:tc>
      </w:tr>
      <w:tr w14:paraId="0376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348912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67F05CAD">
            <w:pPr>
              <w:spacing w:after="0" w:line="240" w:lineRule="auto"/>
            </w:pPr>
            <w:r>
              <w:t>全0输入无错</w:t>
            </w:r>
          </w:p>
        </w:tc>
        <w:tc>
          <w:tcPr>
            <w:tcW w:w="1728" w:type="dxa"/>
          </w:tcPr>
          <w:p w14:paraId="5F498D9E">
            <w:pPr>
              <w:spacing w:after="0" w:line="240" w:lineRule="auto"/>
            </w:pPr>
            <w:r>
              <w:t>0位错=1</w:t>
            </w:r>
          </w:p>
        </w:tc>
        <w:tc>
          <w:tcPr>
            <w:tcW w:w="1728" w:type="dxa"/>
          </w:tcPr>
          <w:p w14:paraId="780BD226">
            <w:pPr>
              <w:spacing w:after="0" w:line="240" w:lineRule="auto"/>
            </w:pPr>
            <w:r>
              <w:t>与发送方一致</w:t>
            </w:r>
          </w:p>
        </w:tc>
        <w:tc>
          <w:tcPr>
            <w:tcW w:w="1728" w:type="dxa"/>
          </w:tcPr>
          <w:p w14:paraId="70E5ACCA">
            <w:pPr>
              <w:spacing w:after="0" w:line="240" w:lineRule="auto"/>
            </w:pPr>
            <w:r>
              <w:t>边界全零测试</w:t>
            </w:r>
          </w:p>
        </w:tc>
      </w:tr>
    </w:tbl>
    <w:p w14:paraId="739D71ED"/>
    <w:p w14:paraId="2B32DB41">
      <w:r>
        <w:t>分析：海明码(22,16)编码效率=16/22≈72.7%。此设计能检测2位错误并纠正1位错误。总校验位P6的引入使得可以区分"无错""1位错""2位错"三种状态，避免了只使用P1~P5时2位错被误判为1位错而错误纠正的情况。</w:t>
      </w:r>
    </w:p>
    <w:p w14:paraId="6E78BB63">
      <w:r>
        <w:rPr>
          <w:b/>
        </w:rPr>
        <w:t>1.8 实验思考题</w:t>
      </w:r>
    </w:p>
    <w:p w14:paraId="52BAD2A6">
      <w:r>
        <w:t>（1）如果总校验位出错，其它21位编码出现1位错时，总校验位不一致且校验子S≠0，仍可定位并纠正数据位中的错误，但总校验位自身的错误不影响数据纠正。</w:t>
      </w:r>
    </w:p>
    <w:p w14:paraId="239FBFF9">
      <w:r>
        <w:t>（2）如果出现3位错误，海明码无法检测或检测结果不确定，可能被误判为0位错或1位错，因为3位错可能导致校验子恰好为零。</w:t>
      </w:r>
    </w:p>
    <w:p w14:paraId="467C861E">
      <w:r>
        <w:t>（3）海明码编码效率=数据位数/总位数=16/22≈72.7%。校验位占比约27.3%，相对于奇偶校验开销更大，但换来了检二纠一的能力。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1C5372"/>
    <w:rsid w:val="194E4679"/>
    <w:rsid w:val="3FBB2434"/>
    <w:rsid w:val="47F53CB2"/>
    <w:rsid w:val="48ED5DA0"/>
    <w:rsid w:val="50D715F5"/>
    <w:rsid w:val="78D9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2382</Words>
  <Characters>2906</Characters>
  <Lines>0</Lines>
  <Paragraphs>0</Paragraphs>
  <TotalTime>11</TotalTime>
  <ScaleCrop>false</ScaleCrop>
  <LinksUpToDate>false</LinksUpToDate>
  <CharactersWithSpaces>2973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练土师小白</cp:lastModifiedBy>
  <dcterms:modified xsi:type="dcterms:W3CDTF">2026-05-26T09:30:18Z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eyJoZGlkIjoiNTMxNDRlMDRlMzY5ODk0ZGQyNzM1ODNlZjU3OGE4ZTQiLCJ1c2VySWQiOiIxMDM4MDQ1MDA4In0=</vt:lpwstr>
  </property>
  <property fmtid="{D5CDD505-2E9C-101B-9397-08002B2CF9AE}" pid="3" name="KSOProductBuildVer">
    <vt:lpwstr>2052-12.1.0.21915</vt:lpwstr>
  </property>
  <property fmtid="{D5CDD505-2E9C-101B-9397-08002B2CF9AE}" pid="4" name="ICV">
    <vt:lpwstr>DB3E45E4C0A94252B60DA2460D90320D_13</vt:lpwstr>
  </property>
</Properties>
</file>