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5F3F5A">
      <w:pPr>
        <w:spacing w:before="600"/>
        <w:jc w:val="center"/>
      </w:pPr>
      <w:r>
        <w:rPr>
          <w:rFonts w:ascii="Arial" w:hAnsi="Arial" w:eastAsia="黑体"/>
          <w:b/>
          <w:sz w:val="44"/>
        </w:rPr>
        <w:t>硕士学位论文思路全景说明</w:t>
      </w:r>
    </w:p>
    <w:p w14:paraId="61C7258E">
      <w:pPr>
        <w:spacing w:after="360"/>
        <w:jc w:val="center"/>
      </w:pPr>
      <w:r>
        <w:rPr>
          <w:rFonts w:ascii="Arial" w:hAnsi="Arial" w:eastAsia="黑体"/>
          <w:b/>
          <w:sz w:val="26"/>
        </w:rPr>
        <w:t>——基于数字孪生与深度强化学习的燃机电厂冷端全工况动态寻优控制</w:t>
      </w:r>
    </w:p>
    <w:p w14:paraId="2CE31757">
      <w:pPr>
        <w:spacing w:before="240" w:after="120" w:line="360" w:lineRule="auto"/>
      </w:pPr>
      <w:r>
        <w:rPr>
          <w:rFonts w:ascii="Arial" w:hAnsi="Arial" w:eastAsia="黑体"/>
          <w:b/>
          <w:sz w:val="28"/>
        </w:rPr>
        <w:t>〇、阅读指引（先读这段）</w:t>
      </w:r>
    </w:p>
    <w:p w14:paraId="23112E2E">
      <w:pPr>
        <w:spacing w:after="80" w:line="360" w:lineRule="auto"/>
        <w:ind w:firstLine="420"/>
      </w:pPr>
      <w:r>
        <w:rPr>
          <w:rFonts w:ascii="Times New Roman" w:hAnsi="Times New Roman" w:eastAsia="宋体"/>
          <w:b w:val="0"/>
          <w:sz w:val="21"/>
        </w:rPr>
        <w:t>我是华北电力大学能源动力·动力工程专业硕士研究生，零基础编程，目前处于开题/绪论阶段，尚未开始 Dymola 建模和写代码。请你先完整读完本文档，再开始协助我。本文档完整描述了我的论文方向、工程背景、研究对象、章节结构、创新点、技术路线、每一步怎么做、需要什么数据、已完成的产物以及时间节点。文献清单我已经单独整理成 Excel 和综述，本文档不重复罗列文献，只点出作为“路线模板”的关键文献。</w:t>
      </w:r>
    </w:p>
    <w:p w14:paraId="5C953BE1">
      <w:pPr>
        <w:spacing w:after="80" w:line="360" w:lineRule="auto"/>
        <w:ind w:firstLine="420"/>
      </w:pPr>
      <w:r>
        <w:rPr>
          <w:rFonts w:ascii="Times New Roman" w:hAnsi="Times New Roman" w:eastAsia="宋体"/>
          <w:b w:val="0"/>
          <w:sz w:val="21"/>
        </w:rPr>
        <w:t>我的协作偏好：在本课题的学术与代码问题上，我需要具体、详细、可直接照做的内容，不接受“装个环境、写个奖励函数”这类笼统说法；涉及数理考试类题目时我才需要极简步骤。请默认把“在哪个软件、点哪里、装什么、代码什么意思、公式从哪来”讲清楚。</w:t>
      </w:r>
    </w:p>
    <w:p w14:paraId="024C3D36">
      <w:pPr>
        <w:spacing w:before="240" w:after="120" w:line="360" w:lineRule="auto"/>
      </w:pPr>
      <w:r>
        <w:rPr>
          <w:rFonts w:ascii="Arial" w:hAnsi="Arial" w:eastAsia="黑体"/>
          <w:b/>
          <w:sz w:val="28"/>
        </w:rPr>
        <w:t>一、身份、课题来源与时间节点</w:t>
      </w:r>
    </w:p>
    <w:p w14:paraId="7EB35A93">
      <w:pPr>
        <w:pStyle w:val="16"/>
        <w:spacing w:after="40" w:line="360" w:lineRule="auto"/>
      </w:pPr>
      <w:r>
        <w:rPr>
          <w:rFonts w:ascii="Times New Roman" w:hAnsi="Times New Roman" w:eastAsia="宋体"/>
          <w:b w:val="0"/>
          <w:sz w:val="21"/>
        </w:rPr>
        <w:t>身份：华北电力大学 能源动力·动力工程 专业硕士（专业学位），零基础编程。</w:t>
      </w:r>
    </w:p>
    <w:p w14:paraId="29C6AC3E">
      <w:pPr>
        <w:pStyle w:val="16"/>
        <w:spacing w:after="40" w:line="360" w:lineRule="auto"/>
      </w:pPr>
      <w:r>
        <w:rPr>
          <w:rFonts w:ascii="Times New Roman" w:hAnsi="Times New Roman" w:eastAsia="宋体"/>
          <w:b w:val="0"/>
          <w:sz w:val="21"/>
        </w:rPr>
        <w:t>实习单位：国能</w:t>
      </w:r>
      <w:r>
        <w:rPr>
          <w:rFonts w:hint="eastAsia"/>
          <w:b w:val="0"/>
          <w:sz w:val="21"/>
          <w:lang w:val="en-US" w:eastAsia="zh-CN"/>
        </w:rPr>
        <w:t>南京电力实验有限公司</w:t>
      </w:r>
      <w:r>
        <w:rPr>
          <w:rFonts w:ascii="Times New Roman" w:hAnsi="Times New Roman" w:eastAsia="宋体"/>
          <w:b w:val="0"/>
          <w:sz w:val="21"/>
        </w:rPr>
        <w:t>；将到京燃（北京</w:t>
      </w:r>
      <w:r>
        <w:rPr>
          <w:rFonts w:hint="eastAsia"/>
          <w:b w:val="0"/>
          <w:sz w:val="21"/>
          <w:lang w:val="en-US" w:eastAsia="zh-CN"/>
        </w:rPr>
        <w:t>高安屯</w:t>
      </w:r>
      <w:r>
        <w:rPr>
          <w:rFonts w:ascii="Times New Roman" w:hAnsi="Times New Roman" w:eastAsia="宋体"/>
          <w:b w:val="0"/>
          <w:sz w:val="21"/>
        </w:rPr>
        <w:t>）某燃气—蒸汽联合循环电厂，参加一个“智慧冷端”项目，论文以此项目为依托。</w:t>
      </w:r>
    </w:p>
    <w:p w14:paraId="1B22F602">
      <w:pPr>
        <w:pStyle w:val="16"/>
        <w:spacing w:after="40" w:line="360" w:lineRule="auto"/>
      </w:pPr>
      <w:r>
        <w:rPr>
          <w:rFonts w:ascii="Times New Roman" w:hAnsi="Times New Roman" w:eastAsia="宋体"/>
          <w:b w:val="0"/>
          <w:sz w:val="21"/>
        </w:rPr>
        <w:t>研究对象：燃气—蒸汽联合循环电厂的冷端系统，重点是冷端智能化（深度强化学习寻优控制）。</w:t>
      </w:r>
    </w:p>
    <w:p w14:paraId="4A49E19C">
      <w:pPr>
        <w:pStyle w:val="16"/>
        <w:spacing w:after="40" w:line="360" w:lineRule="auto"/>
      </w:pPr>
      <w:r>
        <w:rPr>
          <w:rFonts w:ascii="Times New Roman" w:hAnsi="Times New Roman" w:eastAsia="宋体"/>
          <w:b w:val="0"/>
          <w:sz w:val="21"/>
        </w:rPr>
        <w:t>时间节点：开题在 2026 年 10 月</w:t>
      </w:r>
      <w:r>
        <w:rPr>
          <w:rFonts w:hint="eastAsia"/>
          <w:b w:val="0"/>
          <w:sz w:val="21"/>
          <w:lang w:val="en-US" w:eastAsia="zh-CN"/>
        </w:rPr>
        <w:t>底</w:t>
      </w:r>
      <w:r>
        <w:rPr>
          <w:rFonts w:ascii="Times New Roman" w:hAnsi="Times New Roman" w:eastAsia="宋体"/>
          <w:b w:val="0"/>
          <w:sz w:val="21"/>
        </w:rPr>
        <w:t>；现场数据预计 11 月之后才能拿到；中期答辩不着急；硬件为 1660Ti 显卡的笔记本，10 月底前以搭建环境、跑通学习与建模为主。</w:t>
      </w:r>
    </w:p>
    <w:p w14:paraId="54B805E6">
      <w:pPr>
        <w:pStyle w:val="16"/>
        <w:spacing w:after="40" w:line="360" w:lineRule="auto"/>
      </w:pPr>
      <w:r>
        <w:rPr>
          <w:rFonts w:ascii="Times New Roman" w:hAnsi="Times New Roman" w:eastAsia="宋体"/>
          <w:b w:val="0"/>
          <w:sz w:val="21"/>
        </w:rPr>
        <w:t>软件条件：Dymola 已自行购买并安装好；计划使用 ClaRaPlus（ClaRa 系列）库，库内有冷却塔组件，比较适配；VS Code 在安装 Dymola 时已下载。</w:t>
      </w:r>
    </w:p>
    <w:p w14:paraId="52F1C7C2">
      <w:pPr>
        <w:spacing w:before="240" w:after="120" w:line="360" w:lineRule="auto"/>
      </w:pPr>
      <w:r>
        <w:rPr>
          <w:rFonts w:ascii="Arial" w:hAnsi="Arial" w:eastAsia="黑体"/>
          <w:b/>
          <w:sz w:val="28"/>
        </w:rPr>
        <w:t>二、论文的核心定位（一句话故事）</w:t>
      </w:r>
    </w:p>
    <w:p w14:paraId="4C1B640C">
      <w:pPr>
        <w:spacing w:after="80" w:line="360" w:lineRule="auto"/>
        <w:ind w:firstLine="420"/>
      </w:pPr>
      <w:r>
        <w:rPr>
          <w:rFonts w:ascii="Times New Roman" w:hAnsi="Times New Roman" w:eastAsia="宋体"/>
          <w:b w:val="0"/>
          <w:sz w:val="21"/>
        </w:rPr>
        <w:t>在燃气—蒸汽联合循环电厂冷端（凝汽器—循环水泵—机力通风冷却塔—集水池—抽真空设备）建立一个高保真数字孪生体，再用深度强化学习（初定 SAC）在孪生体上自动学习“循环水泵频率、冷却塔风机频率、阀门开度”的全工况最优协同控制策略，覆盖稳态、变负荷以及燃机日启停的旁路蒸汽工况；目标是在保证凝汽器背压/真空安全的前提下，最大化净发电收益（发电增量 − 循泵电耗 − 风机电耗等辅机成本）。</w:t>
      </w:r>
    </w:p>
    <w:p w14:paraId="6408097C">
      <w:pPr>
        <w:spacing w:before="240" w:after="120" w:line="360" w:lineRule="auto"/>
      </w:pPr>
      <w:r>
        <w:rPr>
          <w:rFonts w:ascii="Arial" w:hAnsi="Arial" w:eastAsia="黑体"/>
          <w:b/>
          <w:sz w:val="28"/>
        </w:rPr>
        <w:t>三、工程背景与研究对象</w:t>
      </w:r>
    </w:p>
    <w:p w14:paraId="386CCD74">
      <w:pPr>
        <w:spacing w:before="160" w:after="80"/>
      </w:pPr>
      <w:r>
        <w:rPr>
          <w:rFonts w:ascii="Arial" w:hAnsi="Arial" w:eastAsia="黑体"/>
          <w:b/>
          <w:sz w:val="22"/>
        </w:rPr>
        <w:t>3.1 冷端系统组成</w:t>
      </w:r>
    </w:p>
    <w:p w14:paraId="0B5CD1BC">
      <w:pPr>
        <w:spacing w:after="80" w:line="360" w:lineRule="auto"/>
        <w:ind w:firstLine="420"/>
      </w:pPr>
      <w:r>
        <w:rPr>
          <w:rFonts w:ascii="Times New Roman" w:hAnsi="Times New Roman" w:eastAsia="宋体"/>
          <w:b w:val="0"/>
          <w:sz w:val="21"/>
        </w:rPr>
        <w:t>冷端是汽轮机组的“排汽冷却”环节：汽轮机做完功的排汽进入凝汽器，被循环水冷却冷凝成水，凝汽器因此建立并维持真空（背压）；循环水吸收排汽热量后，由循环水泵送到机力通风冷却塔，在塔内通过风机强迫通风与空气换热降温，落入集水池，再由循环水泵送回凝汽器，形成闭式循环。抽真空设备（真空泵/抽气器）负责抽出凝汽器内不凝气体（主要是漏入的空气）。</w:t>
      </w:r>
    </w:p>
    <w:p w14:paraId="59BB2DAF">
      <w:pPr>
        <w:pStyle w:val="16"/>
        <w:spacing w:after="40" w:line="360" w:lineRule="auto"/>
      </w:pPr>
      <w:r>
        <w:rPr>
          <w:rFonts w:ascii="Times New Roman" w:hAnsi="Times New Roman" w:eastAsia="宋体"/>
          <w:b w:val="0"/>
          <w:sz w:val="21"/>
        </w:rPr>
        <w:t>凝汽器：汽轮机排汽在此冷凝、建立真空，是冷端核心；背压直接影响汽轮机出力。</w:t>
      </w:r>
    </w:p>
    <w:p w14:paraId="58EAA291">
      <w:pPr>
        <w:pStyle w:val="16"/>
        <w:spacing w:after="40" w:line="360" w:lineRule="auto"/>
      </w:pPr>
      <w:r>
        <w:rPr>
          <w:rFonts w:ascii="Times New Roman" w:hAnsi="Times New Roman" w:eastAsia="宋体"/>
          <w:b w:val="0"/>
          <w:sz w:val="21"/>
        </w:rPr>
        <w:t>循环水泵：驱动循环水在凝汽器与冷却塔之间循环，是冷端最大的耗电设备之一。</w:t>
      </w:r>
    </w:p>
    <w:p w14:paraId="1DF94F34">
      <w:pPr>
        <w:pStyle w:val="16"/>
        <w:spacing w:after="40" w:line="360" w:lineRule="auto"/>
      </w:pPr>
      <w:r>
        <w:rPr>
          <w:rFonts w:ascii="Times New Roman" w:hAnsi="Times New Roman" w:eastAsia="宋体"/>
          <w:b w:val="0"/>
          <w:sz w:val="21"/>
        </w:rPr>
        <w:t>机力通风冷却塔（湿式、带风机）：京燃冷端用的是机力通风塔，不是海水直流、也不是间接空冷。</w:t>
      </w:r>
    </w:p>
    <w:p w14:paraId="330F6371">
      <w:pPr>
        <w:pStyle w:val="16"/>
        <w:spacing w:after="40" w:line="360" w:lineRule="auto"/>
      </w:pPr>
      <w:r>
        <w:rPr>
          <w:rFonts w:ascii="Times New Roman" w:hAnsi="Times New Roman" w:eastAsia="宋体"/>
          <w:b w:val="0"/>
          <w:sz w:val="21"/>
        </w:rPr>
        <w:t>集水池、连接管道、阀门、抽真空设备。</w:t>
      </w:r>
    </w:p>
    <w:p w14:paraId="46B403B6">
      <w:pPr>
        <w:spacing w:before="160" w:after="80"/>
      </w:pPr>
      <w:r>
        <w:rPr>
          <w:rFonts w:ascii="Arial" w:hAnsi="Arial" w:eastAsia="黑体"/>
          <w:b/>
          <w:sz w:val="22"/>
        </w:rPr>
        <w:t>3.2 两个关键工程事实（论文的现场抓手）</w:t>
      </w:r>
    </w:p>
    <w:p w14:paraId="4CC19D0F">
      <w:pPr>
        <w:spacing w:after="80" w:line="360" w:lineRule="auto"/>
        <w:ind w:firstLine="420"/>
      </w:pPr>
      <w:r>
        <w:rPr>
          <w:rFonts w:ascii="Times New Roman" w:hAnsi="Times New Roman" w:eastAsia="宋体"/>
          <w:b w:val="0"/>
          <w:sz w:val="21"/>
        </w:rPr>
        <w:t>第一，循环水泵的变频改造正在进行、目前尚未投入运行。这对论文极其有利：我可以做“变频投运前的定速/台数控制”与“投运后的智能变频控制”的现场对比，SAC 控制的泵频率在投运后才有真实执行对象，论文的工程价值和验证条件都依赖这次改造。</w:t>
      </w:r>
    </w:p>
    <w:p w14:paraId="6EA01766">
      <w:pPr>
        <w:spacing w:after="80" w:line="360" w:lineRule="auto"/>
        <w:ind w:firstLine="420"/>
      </w:pPr>
      <w:r>
        <w:rPr>
          <w:rFonts w:ascii="Times New Roman" w:hAnsi="Times New Roman" w:eastAsia="宋体"/>
          <w:b w:val="0"/>
          <w:sz w:val="21"/>
        </w:rPr>
        <w:t>第二，凝汽器可能漏空气、换热面会随运行时间结垢，导致清洁系数下降、传热变差、背压上升。这是孪生体“随运行时间精度衰减”的物理根源，引出我论文的在线辨识章节。</w:t>
      </w:r>
    </w:p>
    <w:p w14:paraId="67A9407C">
      <w:pPr>
        <w:spacing w:before="160" w:after="80"/>
      </w:pPr>
      <w:r>
        <w:rPr>
          <w:rFonts w:ascii="Arial" w:hAnsi="Arial" w:eastAsia="黑体"/>
          <w:b/>
          <w:sz w:val="22"/>
        </w:rPr>
        <w:t>3.3 联合循环区别于燃煤机组的特点</w:t>
      </w:r>
    </w:p>
    <w:p w14:paraId="77FB673C">
      <w:pPr>
        <w:pStyle w:val="16"/>
        <w:spacing w:after="40" w:line="360" w:lineRule="auto"/>
      </w:pPr>
      <w:r>
        <w:rPr>
          <w:rFonts w:ascii="Times New Roman" w:hAnsi="Times New Roman" w:eastAsia="宋体"/>
          <w:b w:val="0"/>
          <w:sz w:val="21"/>
        </w:rPr>
        <w:t>日启停/两班制运行、调峰频繁，负荷与环境温度在日内变化大。</w:t>
      </w:r>
    </w:p>
    <w:p w14:paraId="7557070F">
      <w:pPr>
        <w:pStyle w:val="16"/>
        <w:spacing w:after="40" w:line="360" w:lineRule="auto"/>
      </w:pPr>
      <w:r>
        <w:rPr>
          <w:rFonts w:ascii="Times New Roman" w:hAnsi="Times New Roman" w:eastAsia="宋体"/>
          <w:b w:val="0"/>
          <w:sz w:val="21"/>
        </w:rPr>
        <w:t>启停阶段有旁路（减温减压）蒸汽直接进入凝汽器，即“旁路工况”，此时热负荷变化剧烈、常规控制难以兼顾。</w:t>
      </w:r>
    </w:p>
    <w:p w14:paraId="574764A4">
      <w:pPr>
        <w:pStyle w:val="16"/>
        <w:spacing w:after="40" w:line="360" w:lineRule="auto"/>
      </w:pPr>
      <w:r>
        <w:rPr>
          <w:rFonts w:ascii="Times New Roman" w:hAnsi="Times New Roman" w:eastAsia="宋体"/>
          <w:b w:val="0"/>
          <w:sz w:val="21"/>
        </w:rPr>
        <w:t>因此冷端必须能应对“全工况”——稳态、变负荷、日启停旁路，而不只是一个设计工况点。</w:t>
      </w:r>
    </w:p>
    <w:p w14:paraId="774114E2">
      <w:pPr>
        <w:spacing w:before="240" w:after="120" w:line="360" w:lineRule="auto"/>
      </w:pPr>
      <w:r>
        <w:rPr>
          <w:rFonts w:ascii="Arial" w:hAnsi="Arial" w:eastAsia="黑体"/>
          <w:b/>
          <w:sz w:val="28"/>
        </w:rPr>
        <w:t>四、论文题目与研究目标</w:t>
      </w:r>
    </w:p>
    <w:p w14:paraId="51C64CE8">
      <w:pPr>
        <w:spacing w:after="80" w:line="360" w:lineRule="auto"/>
        <w:ind w:firstLine="420"/>
      </w:pPr>
      <w:r>
        <w:rPr>
          <w:rFonts w:ascii="Times New Roman" w:hAnsi="Times New Roman" w:eastAsia="宋体"/>
          <w:b w:val="0"/>
          <w:sz w:val="21"/>
        </w:rPr>
        <w:t>暂定题目：基于数字孪生与深度强化学习的燃气—蒸汽联合循环电厂冷端全工况动态寻优控制。</w:t>
      </w:r>
    </w:p>
    <w:p w14:paraId="2AEBA3A7">
      <w:pPr>
        <w:pStyle w:val="16"/>
        <w:spacing w:after="40" w:line="360" w:lineRule="auto"/>
      </w:pPr>
      <w:r>
        <w:rPr>
          <w:rFonts w:ascii="Times New Roman" w:hAnsi="Times New Roman" w:eastAsia="宋体"/>
          <w:b w:val="0"/>
          <w:sz w:val="21"/>
        </w:rPr>
        <w:t>目标一：建立精度达标、可动态仿真、能与外部算法协同的冷端数字孪生体（Dymola/Modelica）。</w:t>
      </w:r>
    </w:p>
    <w:p w14:paraId="13745DAE">
      <w:pPr>
        <w:pStyle w:val="16"/>
        <w:spacing w:after="40" w:line="360" w:lineRule="auto"/>
      </w:pPr>
      <w:r>
        <w:rPr>
          <w:rFonts w:ascii="Times New Roman" w:hAnsi="Times New Roman" w:eastAsia="宋体"/>
          <w:b w:val="0"/>
          <w:sz w:val="21"/>
        </w:rPr>
        <w:t>目标二：让孪生体能随运行时间跟踪现场状态，用关键参数在线辨识抑制结垢、漏空气导致的精度漂移。</w:t>
      </w:r>
    </w:p>
    <w:p w14:paraId="04C786DA">
      <w:pPr>
        <w:pStyle w:val="16"/>
        <w:spacing w:after="40" w:line="360" w:lineRule="auto"/>
      </w:pPr>
      <w:r>
        <w:rPr>
          <w:rFonts w:ascii="Times New Roman" w:hAnsi="Times New Roman" w:eastAsia="宋体"/>
          <w:b w:val="0"/>
          <w:sz w:val="21"/>
        </w:rPr>
        <w:t>目标三：用深度强化学习在孪生体上学习多执行器协同的全工况最优控制策略，覆盖旁路启停工况。</w:t>
      </w:r>
    </w:p>
    <w:p w14:paraId="72357C20">
      <w:pPr>
        <w:pStyle w:val="16"/>
        <w:spacing w:after="40" w:line="360" w:lineRule="auto"/>
      </w:pPr>
      <w:r>
        <w:rPr>
          <w:rFonts w:ascii="Times New Roman" w:hAnsi="Times New Roman" w:eastAsia="宋体"/>
          <w:b w:val="0"/>
          <w:sz w:val="21"/>
        </w:rPr>
        <w:t>目标四：通过模型在环、历史数据回放、现场试验三层验证，证明策略安全、节能、可落地。</w:t>
      </w:r>
    </w:p>
    <w:p w14:paraId="0EE4989C">
      <w:pPr>
        <w:spacing w:before="240" w:after="120" w:line="360" w:lineRule="auto"/>
      </w:pPr>
      <w:r>
        <w:rPr>
          <w:rFonts w:ascii="Arial" w:hAnsi="Arial" w:eastAsia="黑体"/>
          <w:b/>
          <w:sz w:val="28"/>
        </w:rPr>
        <w:t>五、论文章节结构（建议六章）</w:t>
      </w:r>
    </w:p>
    <w:p w14:paraId="431B3E80">
      <w:pPr>
        <w:spacing w:before="160" w:after="80"/>
      </w:pPr>
      <w:r>
        <w:rPr>
          <w:rFonts w:ascii="Arial" w:hAnsi="Arial" w:eastAsia="黑体"/>
          <w:b/>
          <w:sz w:val="22"/>
        </w:rPr>
        <w:t>第 1 章 引言</w:t>
      </w:r>
    </w:p>
    <w:p w14:paraId="1635AE99">
      <w:pPr>
        <w:spacing w:after="80" w:line="360" w:lineRule="auto"/>
        <w:ind w:firstLine="420"/>
      </w:pPr>
      <w:r>
        <w:rPr>
          <w:rFonts w:ascii="Times New Roman" w:hAnsi="Times New Roman" w:eastAsia="宋体"/>
          <w:b w:val="0"/>
          <w:sz w:val="21"/>
        </w:rPr>
        <w:t>研究背景与意义、国内外研究现状（已有单独综述）、现有方法的不足、问题提出与本文研究内容、论文结构。</w:t>
      </w:r>
    </w:p>
    <w:p w14:paraId="624725D2">
      <w:pPr>
        <w:spacing w:before="160" w:after="80"/>
      </w:pPr>
      <w:r>
        <w:rPr>
          <w:rFonts w:ascii="Arial" w:hAnsi="Arial" w:eastAsia="黑体"/>
          <w:b/>
          <w:sz w:val="22"/>
        </w:rPr>
        <w:t>第 2 章 冷端数字孪生建模</w:t>
      </w:r>
    </w:p>
    <w:p w14:paraId="0DA5FEFE">
      <w:pPr>
        <w:spacing w:after="80" w:line="360" w:lineRule="auto"/>
        <w:ind w:firstLine="420"/>
      </w:pPr>
      <w:r>
        <w:rPr>
          <w:rFonts w:ascii="Times New Roman" w:hAnsi="Times New Roman" w:eastAsia="宋体"/>
          <w:b w:val="0"/>
          <w:sz w:val="21"/>
        </w:rPr>
        <w:t>用 Dymola/Modelica 进行冷端机理建模，建立静态+动态模型：凝汽器、循环水泵、机力通风冷却塔及风机、集水池、阀门、管道，按现场拓扑连接；进行方程检查、仿真调试、用设计/实测数据校验标定；导出 FMU 供 Python 调用。</w:t>
      </w:r>
    </w:p>
    <w:p w14:paraId="05FD8D2F">
      <w:pPr>
        <w:spacing w:before="160" w:after="80"/>
      </w:pPr>
      <w:r>
        <w:rPr>
          <w:rFonts w:ascii="Arial" w:hAnsi="Arial" w:eastAsia="黑体"/>
          <w:b/>
          <w:sz w:val="22"/>
        </w:rPr>
        <w:t>第 3 章 凝汽器关键状态参数在线辨识（孪生体精度保障）</w:t>
      </w:r>
    </w:p>
    <w:p w14:paraId="6A4EDA30">
      <w:pPr>
        <w:spacing w:after="80" w:line="360" w:lineRule="auto"/>
        <w:ind w:firstLine="420"/>
      </w:pPr>
      <w:r>
        <w:rPr>
          <w:rFonts w:ascii="Times New Roman" w:hAnsi="Times New Roman" w:eastAsia="宋体"/>
          <w:b w:val="0"/>
          <w:sz w:val="21"/>
        </w:rPr>
        <w:t>针对孪生体随运行时间精度衰减，在线估算水侧清洁系数（由污垢热阻反算）和漏空气量（饱和温度应达值对比 + 基准压力法），并用 RBF/SVM 修正负荷偏离设计点的残差，把辨识结果回写孪生体，使模型持续跟踪现场。</w:t>
      </w:r>
    </w:p>
    <w:p w14:paraId="2E54C3EA">
      <w:pPr>
        <w:spacing w:before="160" w:after="80"/>
      </w:pPr>
      <w:r>
        <w:rPr>
          <w:rFonts w:ascii="Arial" w:hAnsi="Arial" w:eastAsia="黑体"/>
          <w:b/>
          <w:sz w:val="22"/>
        </w:rPr>
        <w:t>第 4 章 基于深度强化学习的冷端动态寻优</w:t>
      </w:r>
    </w:p>
    <w:p w14:paraId="55EC3B21">
      <w:pPr>
        <w:spacing w:after="80" w:line="360" w:lineRule="auto"/>
        <w:ind w:firstLine="420"/>
      </w:pPr>
      <w:r>
        <w:rPr>
          <w:rFonts w:ascii="Times New Roman" w:hAnsi="Times New Roman" w:eastAsia="宋体"/>
          <w:b w:val="0"/>
          <w:sz w:val="21"/>
        </w:rPr>
        <w:t>设计强化学习的状态、动作、奖励与安全约束，基于 Stable-Baselines3 用 SAC（候选 SAC/TD3/PPO，对比择优）在孪生体上训练；解决大滞后、强耦合、工况快变下静态寻优失效问题。</w:t>
      </w:r>
    </w:p>
    <w:p w14:paraId="2A99EC4C">
      <w:pPr>
        <w:spacing w:before="160" w:after="80"/>
      </w:pPr>
      <w:r>
        <w:rPr>
          <w:rFonts w:ascii="Arial" w:hAnsi="Arial" w:eastAsia="黑体"/>
          <w:b/>
          <w:sz w:val="22"/>
        </w:rPr>
        <w:t>第 5 章 多执行器协同与全工况试验</w:t>
      </w:r>
    </w:p>
    <w:p w14:paraId="2FCB4572">
      <w:pPr>
        <w:spacing w:after="80" w:line="360" w:lineRule="auto"/>
        <w:ind w:firstLine="420"/>
      </w:pPr>
      <w:r>
        <w:rPr>
          <w:rFonts w:ascii="Times New Roman" w:hAnsi="Times New Roman" w:eastAsia="宋体"/>
          <w:b w:val="0"/>
          <w:sz w:val="21"/>
        </w:rPr>
        <w:t>循泵—冷却塔风机—阀门多执行器协同，专门处理旁路蒸汽启停工况；进行模型在环测试、历史数据回放、现场试验（变频投运前后对比），给出节能与安全性结果。</w:t>
      </w:r>
    </w:p>
    <w:p w14:paraId="52ABF131">
      <w:pPr>
        <w:spacing w:before="160" w:after="80"/>
      </w:pPr>
      <w:r>
        <w:rPr>
          <w:rFonts w:ascii="Arial" w:hAnsi="Arial" w:eastAsia="黑体"/>
          <w:b/>
          <w:sz w:val="22"/>
        </w:rPr>
        <w:t>第 6 章 结论与展望</w:t>
      </w:r>
    </w:p>
    <w:p w14:paraId="436D4CD5">
      <w:pPr>
        <w:spacing w:after="80" w:line="360" w:lineRule="auto"/>
        <w:ind w:firstLine="420"/>
      </w:pPr>
      <w:r>
        <w:rPr>
          <w:rFonts w:ascii="Times New Roman" w:hAnsi="Times New Roman" w:eastAsia="宋体"/>
          <w:b w:val="0"/>
          <w:sz w:val="21"/>
        </w:rPr>
        <w:t>总结全文工作与结论，指出不足与后续研究方向（如安全层、多机组协同、迁移到其他电厂）。</w:t>
      </w:r>
    </w:p>
    <w:p w14:paraId="4EF320E6">
      <w:pPr>
        <w:spacing w:before="240" w:after="120" w:line="360" w:lineRule="auto"/>
      </w:pPr>
      <w:r>
        <w:rPr>
          <w:rFonts w:ascii="Arial" w:hAnsi="Arial" w:eastAsia="黑体"/>
          <w:b/>
          <w:sz w:val="28"/>
        </w:rPr>
        <w:t>六、三个创新点（开题报告用，对应文献空白）</w:t>
      </w:r>
    </w:p>
    <w:p w14:paraId="566DC369">
      <w:pPr>
        <w:spacing w:before="160" w:after="80"/>
      </w:pPr>
      <w:r>
        <w:rPr>
          <w:rFonts w:ascii="Arial" w:hAnsi="Arial" w:eastAsia="黑体"/>
          <w:b/>
          <w:sz w:val="22"/>
        </w:rPr>
        <w:t>创新点 1：首次将深度强化学习用于燃机联合循环冷端</w:t>
      </w:r>
    </w:p>
    <w:p w14:paraId="7207A3BC">
      <w:pPr>
        <w:spacing w:after="80" w:line="360" w:lineRule="auto"/>
        <w:ind w:firstLine="420"/>
      </w:pPr>
      <w:r>
        <w:rPr>
          <w:rFonts w:ascii="Times New Roman" w:hAnsi="Times New Roman" w:eastAsia="宋体"/>
          <w:b w:val="0"/>
          <w:sz w:val="21"/>
        </w:rPr>
        <w:t>现有电厂冷端控制是“净收益枚举/最佳背压曲线 + PID/规则”的稳态、被动、单点寻优，遇到大滞后、强耦合、工况快变会失效；而强化学习在冷却领域的应用目前只见于数据中心、商业楼宇、区域冷站（节能约 9%~26%），电厂冷端、尤其燃机联合循环冷端尚无人做。本文把 DRL 引入燃机冷端，直接学习动态、全工况的最优控制策略。</w:t>
      </w:r>
    </w:p>
    <w:p w14:paraId="5F124C1A">
      <w:pPr>
        <w:spacing w:before="160" w:after="80"/>
      </w:pPr>
      <w:r>
        <w:rPr>
          <w:rFonts w:ascii="Arial" w:hAnsi="Arial" w:eastAsia="黑体"/>
          <w:b/>
          <w:sz w:val="22"/>
        </w:rPr>
        <w:t>创新点 2：循泵—冷却塔风机—阀门多执行器协同</w:t>
      </w:r>
    </w:p>
    <w:p w14:paraId="1BFADADB">
      <w:pPr>
        <w:spacing w:after="80" w:line="360" w:lineRule="auto"/>
        <w:ind w:firstLine="420"/>
      </w:pPr>
      <w:r>
        <w:rPr>
          <w:rFonts w:ascii="Times New Roman" w:hAnsi="Times New Roman" w:eastAsia="宋体"/>
          <w:b w:val="0"/>
          <w:sz w:val="21"/>
        </w:rPr>
        <w:t>现有研究几乎只调循环水泵，把冷却塔风机、阀门当作固定或被动环节；本文把循泵频率、风机频率、阀门开度统一纳入动作空间进行协同优化，是明确的节能空间，也是“别人只调泵、我多执行器协同”的增量。</w:t>
      </w:r>
    </w:p>
    <w:p w14:paraId="139335DF">
      <w:pPr>
        <w:spacing w:before="160" w:after="80"/>
      </w:pPr>
      <w:r>
        <w:rPr>
          <w:rFonts w:ascii="Arial" w:hAnsi="Arial" w:eastAsia="黑体"/>
          <w:b/>
          <w:sz w:val="22"/>
        </w:rPr>
        <w:t>创新点 3：旁路蒸汽启停工况的冷端最优控制</w:t>
      </w:r>
    </w:p>
    <w:p w14:paraId="272D8ADB">
      <w:pPr>
        <w:spacing w:after="80" w:line="360" w:lineRule="auto"/>
        <w:ind w:firstLine="420"/>
      </w:pPr>
      <w:r>
        <w:rPr>
          <w:rFonts w:ascii="Times New Roman" w:hAnsi="Times New Roman" w:eastAsia="宋体"/>
          <w:b w:val="0"/>
          <w:sz w:val="21"/>
        </w:rPr>
        <w:t>燃机日启停、旁路蒸汽直接进入凝汽器，这一工况热负荷变化剧烈、文献完全未覆盖；本文专门建立旁路工况并让强化学习策略在该工况下安全寻优，填补空白。</w:t>
      </w:r>
    </w:p>
    <w:p w14:paraId="59510E55">
      <w:pPr>
        <w:spacing w:after="80" w:line="360" w:lineRule="auto"/>
        <w:ind w:firstLine="420"/>
      </w:pPr>
      <w:r>
        <w:rPr>
          <w:rFonts w:ascii="Times New Roman" w:hAnsi="Times New Roman" w:eastAsia="宋体"/>
          <w:b w:val="0"/>
          <w:sz w:val="21"/>
        </w:rPr>
        <w:t>支撑性创新（第 3 章）：清洁系数与漏空气量的在线估算并回写孪生体，把“静态标定一次的模型”变成“能随现场状态更新的孪生体”，解决精度衰减——这是成熟方法在冷端孪生场景下的新组合。</w:t>
      </w:r>
    </w:p>
    <w:p w14:paraId="39C43EF3">
      <w:pPr>
        <w:spacing w:before="240" w:after="120" w:line="360" w:lineRule="auto"/>
      </w:pPr>
      <w:r>
        <w:rPr>
          <w:rFonts w:ascii="Arial" w:hAnsi="Arial" w:eastAsia="黑体"/>
          <w:b/>
          <w:sz w:val="28"/>
        </w:rPr>
        <w:t>七、关键技术方法详解</w:t>
      </w:r>
    </w:p>
    <w:p w14:paraId="37B20FB4">
      <w:pPr>
        <w:spacing w:before="160" w:after="80"/>
      </w:pPr>
      <w:r>
        <w:rPr>
          <w:rFonts w:ascii="Arial" w:hAnsi="Arial" w:eastAsia="黑体"/>
          <w:b/>
          <w:sz w:val="22"/>
        </w:rPr>
        <w:t>7.1 Dymola/Modelica 数字孪生建模</w:t>
      </w:r>
    </w:p>
    <w:p w14:paraId="1F4D1933">
      <w:pPr>
        <w:pStyle w:val="16"/>
        <w:spacing w:after="40" w:line="360" w:lineRule="auto"/>
      </w:pPr>
      <w:r>
        <w:rPr>
          <w:rFonts w:ascii="Times New Roman" w:hAnsi="Times New Roman" w:eastAsia="宋体"/>
          <w:b w:val="0"/>
          <w:sz w:val="21"/>
        </w:rPr>
        <w:t>工具：Dymola（已购）+ ClaRaPlus/ClaRa 库，库内有冷却塔、凝汽器、泵、阀门等组件；先用拖放方式搭建，不必一上来写 Modelica 代码。</w:t>
      </w:r>
    </w:p>
    <w:p w14:paraId="25E7028C">
      <w:pPr>
        <w:pStyle w:val="16"/>
        <w:spacing w:after="40" w:line="360" w:lineRule="auto"/>
      </w:pPr>
      <w:r>
        <w:rPr>
          <w:rFonts w:ascii="Times New Roman" w:hAnsi="Times New Roman" w:eastAsia="宋体"/>
          <w:b w:val="0"/>
          <w:sz w:val="21"/>
        </w:rPr>
        <w:t>拓扑：汽轮机排汽→凝汽器→循环水泵→机力通风冷却塔→集水池→回凝汽器循环；先把流程画对。</w:t>
      </w:r>
    </w:p>
    <w:p w14:paraId="4C9503C9">
      <w:pPr>
        <w:pStyle w:val="16"/>
        <w:spacing w:after="40" w:line="360" w:lineRule="auto"/>
      </w:pPr>
      <w:r>
        <w:rPr>
          <w:rFonts w:ascii="Times New Roman" w:hAnsi="Times New Roman" w:eastAsia="宋体"/>
          <w:b w:val="0"/>
          <w:sz w:val="21"/>
        </w:rPr>
        <w:t>校验：Check 模型方程（自由度平衡、单位一致），Simulate 达到 0 Errors；用设计参数和实测数据对比标定。可参考陈东核电直流冷却建模平均误差约 0.4% 的精度水平。</w:t>
      </w:r>
    </w:p>
    <w:p w14:paraId="05F76619">
      <w:pPr>
        <w:pStyle w:val="16"/>
        <w:spacing w:after="40" w:line="360" w:lineRule="auto"/>
      </w:pPr>
      <w:r>
        <w:rPr>
          <w:rFonts w:ascii="Times New Roman" w:hAnsi="Times New Roman" w:eastAsia="宋体"/>
          <w:b w:val="0"/>
          <w:sz w:val="21"/>
        </w:rPr>
        <w:t>学习路径：结合 Modelica 在线教程（mbe.modelica.university）与 Dymola 官方手册 1B（建模）、2A（标定与优化）、2B（导出 FMU）。</w:t>
      </w:r>
    </w:p>
    <w:p w14:paraId="44A2D996">
      <w:pPr>
        <w:pStyle w:val="16"/>
        <w:spacing w:after="40" w:line="360" w:lineRule="auto"/>
      </w:pPr>
      <w:r>
        <w:rPr>
          <w:rFonts w:ascii="Times New Roman" w:hAnsi="Times New Roman" w:eastAsia="宋体"/>
          <w:b w:val="0"/>
          <w:sz w:val="21"/>
        </w:rPr>
        <w:t>导出 FMU：File &gt; Export &gt; FMU，选 Co-Simulation、FMI 2.0、64-bit。</w:t>
      </w:r>
    </w:p>
    <w:p w14:paraId="79B6B51E">
      <w:pPr>
        <w:spacing w:after="80" w:line="360" w:lineRule="auto"/>
        <w:ind w:firstLine="420"/>
      </w:pPr>
      <w:r>
        <w:rPr>
          <w:rFonts w:ascii="Times New Roman" w:hAnsi="Times New Roman" w:eastAsia="宋体"/>
          <w:b w:val="0"/>
          <w:sz w:val="21"/>
        </w:rPr>
        <w:t>重要授权坑：若没有“代码导出”授权，导出的 FMU 离开 Dymola 环境仍无法独立运行（运行仍依赖 Dymola）。必须在实习单位/学校使用正版授权，并在论文与方案中写明这一点。</w:t>
      </w:r>
    </w:p>
    <w:p w14:paraId="49A0FE2B">
      <w:pPr>
        <w:spacing w:before="160" w:after="80"/>
      </w:pPr>
      <w:r>
        <w:rPr>
          <w:rFonts w:ascii="Arial" w:hAnsi="Arial" w:eastAsia="黑体"/>
          <w:b/>
          <w:sz w:val="22"/>
        </w:rPr>
        <w:t>7.2 关键参数在线辨识（第 3 章，重点讲清）</w:t>
      </w:r>
    </w:p>
    <w:p w14:paraId="5591EF79">
      <w:pPr>
        <w:spacing w:after="80" w:line="360" w:lineRule="auto"/>
        <w:ind w:firstLine="420"/>
      </w:pPr>
      <w:r>
        <w:rPr>
          <w:rFonts w:ascii="Times New Roman" w:hAnsi="Times New Roman" w:eastAsia="宋体"/>
          <w:b w:val="0"/>
          <w:sz w:val="21"/>
        </w:rPr>
        <w:t>这一章不是在 Dymola 里凭空做，而是“用现场可测数据反算模型里不能直接测的参数，再把参数更新回模型”。具体三件事：</w:t>
      </w:r>
    </w:p>
    <w:p w14:paraId="3F246AF0">
      <w:pPr>
        <w:spacing w:after="80" w:line="360" w:lineRule="auto"/>
        <w:ind w:firstLine="420"/>
      </w:pPr>
      <w:r>
        <w:rPr>
          <w:rFonts w:ascii="Times New Roman" w:hAnsi="Times New Roman" w:eastAsia="宋体"/>
          <w:b w:val="0"/>
          <w:sz w:val="21"/>
        </w:rPr>
        <w:t>（1）水侧污垢热阻反算实时清洁系数。凝汽器换热管用久了会结垢，结垢相当于在管壁上增加一层“污垢热阻”，使总传热系数下降。清洁系数（如 HEI 标准里的 F_C）就是当前总传热系数相对清洁状态的比值，越接近 1 越干净。做法：用现场可测的循环水流量、循环水进/出口温度、凝汽器排汽温度（背压对应饱和温度）算出凝汽器实际换热量和实际传热系数，再与“清洁状态、相同工况下应有的传热系数”对比，反算出清洁系数（即由污垢热阻反算）。所需参数全部来自现场 DCS 测点：循环水流量、凝汽器进出水温度、排汽压力/温度、机组负荷。</w:t>
      </w:r>
    </w:p>
    <w:p w14:paraId="1C9ADF34">
      <w:pPr>
        <w:spacing w:after="80" w:line="360" w:lineRule="auto"/>
        <w:ind w:firstLine="420"/>
      </w:pPr>
      <w:r>
        <w:rPr>
          <w:rFonts w:ascii="Times New Roman" w:hAnsi="Times New Roman" w:eastAsia="宋体"/>
          <w:b w:val="0"/>
          <w:sz w:val="21"/>
        </w:rPr>
        <w:t>（2）漏空气量在线估算。空气漏入凝汽器会在换热面形成不凝气体层、抬高背压。做法：用“饱和温度应达值对比”——按当前排汽压力查出对应的饱和蒸汽温度（应达值），与实测温度/传热端差对比，偏差反映不凝气体影响；再用“基准压力法”，以无漏空气时该工况的基准压力为参照，结合真空变化在线估算漏空气量。这些量同样来自现场压力、温度、真空测点（平时还靠真空严密性试验、氦质谱离线检漏，本文做在线估算）。</w:t>
      </w:r>
    </w:p>
    <w:p w14:paraId="1984C73F">
      <w:pPr>
        <w:spacing w:after="80" w:line="360" w:lineRule="auto"/>
        <w:ind w:firstLine="420"/>
      </w:pPr>
      <w:r>
        <w:rPr>
          <w:rFonts w:ascii="Times New Roman" w:hAnsi="Times New Roman" w:eastAsia="宋体"/>
          <w:b w:val="0"/>
          <w:sz w:val="21"/>
        </w:rPr>
        <w:t>（3）RBF/SVM 修正负荷偏离设计点的残差。RBF（径向基函数网络）和 SVM（支持向量机）是两种成熟的小样本机器学习回归模型。当机组负荷偏离设计点时，纯机理模型（按设计参数建的）会产生系统误差（残差）。用历史数据训练 RBF 或 SVM，以“负荷、环境温度等工况量”为输入、以“机理模型预测与实测的差值（残差）”为输出，让模型在偏离设计点时把这块残差补回来，从而提高变工况下的孪生精度。</w:t>
      </w:r>
    </w:p>
    <w:p w14:paraId="6FC1B779">
      <w:pPr>
        <w:spacing w:after="80" w:line="360" w:lineRule="auto"/>
        <w:ind w:firstLine="420"/>
      </w:pPr>
      <w:r>
        <w:rPr>
          <w:rFonts w:ascii="Times New Roman" w:hAnsi="Times New Roman" w:eastAsia="宋体"/>
          <w:b w:val="0"/>
          <w:sz w:val="21"/>
        </w:rPr>
        <w:t>在哪里干：机理模型在 Dymola；反算清洁系数、漏空气、训练 RBF/SVM、残差修正都在 Python 里做（读 DCS 数据），然后把更新后的清洁系数等参数回写到 Dymola 模型/FMU，形成“模型—辨识—更新”的闭环。</w:t>
      </w:r>
    </w:p>
    <w:p w14:paraId="53ABEBBA">
      <w:pPr>
        <w:spacing w:before="160" w:after="80"/>
      </w:pPr>
      <w:r>
        <w:rPr>
          <w:rFonts w:ascii="Arial" w:hAnsi="Arial" w:eastAsia="黑体"/>
          <w:b/>
          <w:sz w:val="22"/>
        </w:rPr>
        <w:t>7.3 强化学习四要素与安全设计</w:t>
      </w:r>
    </w:p>
    <w:p w14:paraId="1CE5602A">
      <w:pPr>
        <w:spacing w:after="80" w:line="360" w:lineRule="auto"/>
        <w:ind w:firstLine="420"/>
      </w:pPr>
      <w:r>
        <w:rPr>
          <w:rFonts w:ascii="Times New Roman" w:hAnsi="Times New Roman" w:eastAsia="宋体"/>
          <w:b w:val="0"/>
          <w:sz w:val="21"/>
        </w:rPr>
        <w:t>状态（观测）：凝汽器背压、循环水温度与流量、机组负荷、环境温湿度、出塔水温、清洁系数等。</w:t>
      </w:r>
    </w:p>
    <w:p w14:paraId="0270D3E5">
      <w:pPr>
        <w:spacing w:after="80" w:line="360" w:lineRule="auto"/>
        <w:ind w:firstLine="420"/>
      </w:pPr>
      <w:r>
        <w:rPr>
          <w:rFonts w:ascii="Times New Roman" w:hAnsi="Times New Roman" w:eastAsia="宋体"/>
          <w:b w:val="0"/>
          <w:sz w:val="21"/>
        </w:rPr>
        <w:t>动作（均为连续量）：循环水泵频率、冷却塔风机频率、阀门开度。</w:t>
      </w:r>
    </w:p>
    <w:p w14:paraId="2226234E">
      <w:pPr>
        <w:spacing w:after="80" w:line="360" w:lineRule="auto"/>
        <w:ind w:firstLine="420"/>
      </w:pPr>
      <w:r>
        <w:rPr>
          <w:rFonts w:ascii="Times New Roman" w:hAnsi="Times New Roman" w:eastAsia="宋体"/>
          <w:b w:val="0"/>
          <w:sz w:val="21"/>
        </w:rPr>
        <w:t>奖励：发电增量 − 循泵电耗 − 风机电耗 − 约束越限惩罚。与 DeepMind BCOOLER 的“−总电耗+安全护栏”、清华 HVAC 论文的“制冷量/(冷水机组+冷却塔+水泵功率)+λ|室温−设定值|”同构。</w:t>
      </w:r>
    </w:p>
    <w:p w14:paraId="4CF0ECF7">
      <w:pPr>
        <w:spacing w:before="80" w:after="80"/>
        <w:jc w:val="center"/>
      </w:pPr>
      <w:r>
        <w:rPr>
          <w:rFonts w:ascii="Cambria Math" w:hAnsi="Cambria Math" w:eastAsia="宋体"/>
          <w:b w:val="0"/>
          <w:i/>
          <w:sz w:val="21"/>
        </w:rPr>
        <w:t>Reward = Q_CHW / (P_chillers + P_towers + P_pumps) + λ · |T_room − T_b|   （清华HVAC式，可类比改造为冷端净收益）</w:t>
      </w:r>
    </w:p>
    <w:p w14:paraId="3507B320">
      <w:pPr>
        <w:spacing w:after="80" w:line="360" w:lineRule="auto"/>
        <w:ind w:firstLine="420"/>
      </w:pPr>
      <w:r>
        <w:rPr>
          <w:rFonts w:ascii="Times New Roman" w:hAnsi="Times New Roman" w:eastAsia="宋体"/>
          <w:b w:val="0"/>
          <w:sz w:val="21"/>
        </w:rPr>
        <w:t>安全边界：动作限制在参考值的 80%~120%（例如参考 2 kg/s 则安全范围 1.6~2.4 kg/s）；一旦越界，给负奖励、立即终止当前 episode、把状态重置回参考值再开新局。该处理逻辑取自清华 HVAC 论文与陈东论文。</w:t>
      </w:r>
    </w:p>
    <w:p w14:paraId="54395B0A">
      <w:pPr>
        <w:spacing w:before="160" w:after="80"/>
      </w:pPr>
      <w:r>
        <w:rPr>
          <w:rFonts w:ascii="Arial" w:hAnsi="Arial" w:eastAsia="黑体"/>
          <w:b/>
          <w:sz w:val="22"/>
        </w:rPr>
        <w:t>7.4 为什么初定 SAC（开题可暂不锁死）</w:t>
      </w:r>
    </w:p>
    <w:p w14:paraId="1BEE8E5E">
      <w:pPr>
        <w:spacing w:after="80" w:line="360" w:lineRule="auto"/>
        <w:ind w:firstLine="420"/>
      </w:pPr>
      <w:r>
        <w:rPr>
          <w:rFonts w:ascii="Times New Roman" w:hAnsi="Times New Roman" w:eastAsia="宋体"/>
          <w:b w:val="0"/>
          <w:sz w:val="21"/>
        </w:rPr>
        <w:t>开题稳妥写法：采用面向连续动作空间的 Actor-Critic 类深度强化学习方法，候选 SAC/TD3/PPO，后续在仿真环境基准对比择优，不必现在点名。</w:t>
      </w:r>
    </w:p>
    <w:p w14:paraId="42DA13AD">
      <w:pPr>
        <w:pStyle w:val="16"/>
        <w:spacing w:after="40" w:line="360" w:lineRule="auto"/>
      </w:pPr>
      <w:r>
        <w:rPr>
          <w:rFonts w:ascii="Times New Roman" w:hAnsi="Times New Roman" w:eastAsia="宋体"/>
          <w:b w:val="0"/>
          <w:sz w:val="21"/>
        </w:rPr>
        <w:t>最大熵框架：目标=期望回报+策略熵，鼓励探索，避免过早收敛到次优。</w:t>
      </w:r>
    </w:p>
    <w:p w14:paraId="79833710">
      <w:pPr>
        <w:pStyle w:val="16"/>
        <w:spacing w:after="40" w:line="360" w:lineRule="auto"/>
      </w:pPr>
      <w:r>
        <w:rPr>
          <w:rFonts w:ascii="Times New Roman" w:hAnsi="Times New Roman" w:eastAsia="宋体"/>
          <w:b w:val="0"/>
          <w:sz w:val="21"/>
        </w:rPr>
        <w:t>off-policy + 经验回放：样本效率高，现场数据宝贵时尤其关键。</w:t>
      </w:r>
    </w:p>
    <w:p w14:paraId="1FB82D7D">
      <w:pPr>
        <w:pStyle w:val="16"/>
        <w:spacing w:after="40" w:line="360" w:lineRule="auto"/>
      </w:pPr>
      <w:r>
        <w:rPr>
          <w:rFonts w:ascii="Times New Roman" w:hAnsi="Times New Roman" w:eastAsia="宋体"/>
          <w:b w:val="0"/>
          <w:sz w:val="21"/>
        </w:rPr>
        <w:t>随机策略 + 双 Q 网络 + 自动温度系数：训练稳定、对超参数鲁棒，适合零基础。</w:t>
      </w:r>
    </w:p>
    <w:p w14:paraId="1541DDB8">
      <w:pPr>
        <w:pStyle w:val="16"/>
        <w:spacing w:after="40" w:line="360" w:lineRule="auto"/>
      </w:pPr>
      <w:r>
        <w:rPr>
          <w:rFonts w:ascii="Times New Roman" w:hAnsi="Times New Roman" w:eastAsia="宋体"/>
          <w:b w:val="0"/>
          <w:sz w:val="21"/>
        </w:rPr>
        <w:t>天然适合连续动作：泵频率、风机频率、阀门开度都是连续量。</w:t>
      </w:r>
    </w:p>
    <w:p w14:paraId="68117D83">
      <w:pPr>
        <w:pStyle w:val="16"/>
        <w:spacing w:after="40" w:line="360" w:lineRule="auto"/>
      </w:pPr>
      <w:r>
        <w:rPr>
          <w:rFonts w:ascii="Times New Roman" w:hAnsi="Times New Roman" w:eastAsia="宋体"/>
          <w:b w:val="0"/>
          <w:sz w:val="21"/>
        </w:rPr>
        <w:t>对比：DDPG 确定性策略易发散、超参敏感；PPO 为 on-policy、样本效率低；TD3 改进 DDPG 但熵探索不如 SAC。</w:t>
      </w:r>
    </w:p>
    <w:p w14:paraId="220503BE">
      <w:pPr>
        <w:spacing w:before="240" w:after="120" w:line="360" w:lineRule="auto"/>
      </w:pPr>
      <w:r>
        <w:rPr>
          <w:rFonts w:ascii="Arial" w:hAnsi="Arial" w:eastAsia="黑体"/>
          <w:b/>
          <w:sz w:val="28"/>
        </w:rPr>
        <w:t>八、分阶段实施步骤（按顺序）</w:t>
      </w:r>
    </w:p>
    <w:p w14:paraId="366002A8">
      <w:pPr>
        <w:pStyle w:val="16"/>
        <w:spacing w:after="40" w:line="360" w:lineRule="auto"/>
      </w:pPr>
      <w:r>
        <w:rPr>
          <w:rFonts w:ascii="Times New Roman" w:hAnsi="Times New Roman" w:eastAsia="宋体"/>
          <w:b w:val="0"/>
          <w:sz w:val="21"/>
        </w:rPr>
        <w:t>第 1 步：学 Modelica/Dymola 基础（在线教程 + 手册 1B），搭出冷端拓扑，放凝汽器、循泵、冷却塔、风机、集水池、阀门、管道并连接。</w:t>
      </w:r>
    </w:p>
    <w:p w14:paraId="1CB8C3F7">
      <w:pPr>
        <w:pStyle w:val="16"/>
        <w:spacing w:after="40" w:line="360" w:lineRule="auto"/>
      </w:pPr>
      <w:r>
        <w:rPr>
          <w:rFonts w:ascii="Times New Roman" w:hAnsi="Times New Roman" w:eastAsia="宋体"/>
          <w:b w:val="0"/>
          <w:sz w:val="21"/>
        </w:rPr>
        <w:t>第 2 步：Check 与 Simulate，达到 0 错误；用设计/实测数据校验标定（手册 2A）。</w:t>
      </w:r>
    </w:p>
    <w:p w14:paraId="1C87EA41">
      <w:pPr>
        <w:pStyle w:val="16"/>
        <w:spacing w:after="40" w:line="360" w:lineRule="auto"/>
      </w:pPr>
      <w:r>
        <w:rPr>
          <w:rFonts w:ascii="Times New Roman" w:hAnsi="Times New Roman" w:eastAsia="宋体"/>
          <w:b w:val="0"/>
          <w:sz w:val="21"/>
        </w:rPr>
        <w:t>第 3 步：File &gt; Export &gt; FMU（Co-Simulation、FMI 2.0、64 位），确认授权可独立运行（手册 2B）。</w:t>
      </w:r>
    </w:p>
    <w:p w14:paraId="7678960E">
      <w:pPr>
        <w:pStyle w:val="16"/>
        <w:spacing w:after="40" w:line="360" w:lineRule="auto"/>
      </w:pPr>
      <w:r>
        <w:rPr>
          <w:rFonts w:ascii="Times New Roman" w:hAnsi="Times New Roman" w:eastAsia="宋体"/>
          <w:b w:val="0"/>
          <w:sz w:val="21"/>
        </w:rPr>
        <w:t>第 4 步：搭 Python 环境（Anaconda、VS Code），用 FMPy 加载 FMU（python -m fmpy.gui 查看变量），把模型封装成标准 Gym 环境（reset/step，内含状态、动作、奖励）。</w:t>
      </w:r>
    </w:p>
    <w:p w14:paraId="059E967A">
      <w:pPr>
        <w:pStyle w:val="16"/>
        <w:spacing w:after="40" w:line="360" w:lineRule="auto"/>
      </w:pPr>
      <w:r>
        <w:rPr>
          <w:rFonts w:ascii="Times New Roman" w:hAnsi="Times New Roman" w:eastAsia="宋体"/>
          <w:b w:val="0"/>
          <w:sz w:val="21"/>
        </w:rPr>
        <w:t>第 5 步：先跑通 Stable-Baselines3 官方最简例子，再用其 SAC 在 Gym 环境上训练；并行准备第 3 章在线辨识（读 DCS 数据反算清洁系数、漏空气，训练 RBF/SVM）。</w:t>
      </w:r>
    </w:p>
    <w:p w14:paraId="41076F57">
      <w:pPr>
        <w:pStyle w:val="16"/>
        <w:spacing w:after="40" w:line="360" w:lineRule="auto"/>
      </w:pPr>
      <w:r>
        <w:rPr>
          <w:rFonts w:ascii="Times New Roman" w:hAnsi="Times New Roman" w:eastAsia="宋体"/>
          <w:b w:val="0"/>
          <w:sz w:val="21"/>
        </w:rPr>
        <w:t>第 6 步：把辨识参数回写孪生体，做 SAC 与 TD3/PPO 的基准对比、消融实验（只调泵→泵+风机→泵+风机+阀门）。</w:t>
      </w:r>
    </w:p>
    <w:p w14:paraId="52AE1733">
      <w:pPr>
        <w:pStyle w:val="16"/>
        <w:spacing w:after="40" w:line="360" w:lineRule="auto"/>
      </w:pPr>
      <w:r>
        <w:rPr>
          <w:rFonts w:ascii="Times New Roman" w:hAnsi="Times New Roman" w:eastAsia="宋体"/>
          <w:b w:val="0"/>
          <w:sz w:val="21"/>
        </w:rPr>
        <w:t>第 7 步：全工况试验（稳态、变负荷、旁路启停），完成三层验证。</w:t>
      </w:r>
    </w:p>
    <w:p w14:paraId="40F638CF">
      <w:pPr>
        <w:pStyle w:val="16"/>
        <w:spacing w:after="40" w:line="360" w:lineRule="auto"/>
      </w:pPr>
      <w:r>
        <w:rPr>
          <w:rFonts w:ascii="Times New Roman" w:hAnsi="Times New Roman" w:eastAsia="宋体"/>
          <w:b w:val="0"/>
          <w:sz w:val="21"/>
        </w:rPr>
        <w:t>第 8 步：整理结果、撰写论文、准备答辩。</w:t>
      </w:r>
    </w:p>
    <w:p w14:paraId="541CCF8D">
      <w:pPr>
        <w:spacing w:before="240" w:after="120" w:line="360" w:lineRule="auto"/>
      </w:pPr>
      <w:r>
        <w:rPr>
          <w:rFonts w:ascii="Arial" w:hAnsi="Arial" w:eastAsia="黑体"/>
          <w:b/>
          <w:sz w:val="28"/>
        </w:rPr>
        <w:t>九、三层验证是什么（重点解释历史回放）</w:t>
      </w:r>
    </w:p>
    <w:p w14:paraId="2628D9CC">
      <w:pPr>
        <w:pStyle w:val="16"/>
        <w:spacing w:after="40" w:line="360" w:lineRule="auto"/>
      </w:pPr>
      <w:r>
        <w:rPr>
          <w:rFonts w:ascii="Times New Roman" w:hAnsi="Times New Roman" w:eastAsia="宋体"/>
          <w:b w:val="0"/>
          <w:sz w:val="21"/>
        </w:rPr>
        <w:t>模型在环（MIL）：完全在仿真环境中，让训练好的策略控制 Dymola/FMU 模型，看背压、电耗、净收益是否优于基线，且不越安全边界。</w:t>
      </w:r>
    </w:p>
    <w:p w14:paraId="5DE7759C">
      <w:pPr>
        <w:pStyle w:val="16"/>
        <w:spacing w:after="40" w:line="360" w:lineRule="auto"/>
      </w:pPr>
      <w:r>
        <w:rPr>
          <w:rFonts w:ascii="Times New Roman" w:hAnsi="Times New Roman" w:eastAsia="宋体"/>
          <w:b w:val="0"/>
          <w:sz w:val="21"/>
        </w:rPr>
        <w:t>历史数据回放：取电厂过去某段真实运行的 DCS 历史数据（真实的负荷曲线、环境温度、当时的泵/风机操作），把这些真实工况“回放”给孪生模型和策略——即以真实历史工况为输入，让策略给出它“本该怎么操作”，再把策略动作下的仿真结果，与当时真实操作的结果（实际背压、实际电耗）对比，看是否更节能。这是在不能直接动真实机组时，用历史数据做的离线、可复算、安全的验证。</w:t>
      </w:r>
    </w:p>
    <w:p w14:paraId="6A6D0430">
      <w:pPr>
        <w:pStyle w:val="16"/>
        <w:spacing w:after="40" w:line="360" w:lineRule="auto"/>
      </w:pPr>
      <w:r>
        <w:rPr>
          <w:rFonts w:ascii="Times New Roman" w:hAnsi="Times New Roman" w:eastAsia="宋体"/>
          <w:b w:val="0"/>
          <w:sz w:val="21"/>
        </w:rPr>
        <w:t>现场试验：在变频投运后，在保障安全的前提下，把策略小规模投入真实冷端，做投运前后对比，验证实际节能效果。</w:t>
      </w:r>
    </w:p>
    <w:p w14:paraId="62F44AE5">
      <w:pPr>
        <w:spacing w:before="240" w:after="120" w:line="360" w:lineRule="auto"/>
      </w:pPr>
      <w:r>
        <w:rPr>
          <w:rFonts w:ascii="Arial" w:hAnsi="Arial" w:eastAsia="黑体"/>
          <w:b/>
          <w:sz w:val="28"/>
        </w:rPr>
        <w:t>十、需要现场提供的数据与条件</w:t>
      </w:r>
    </w:p>
    <w:p w14:paraId="3A083BF7">
      <w:pPr>
        <w:pStyle w:val="16"/>
        <w:spacing w:after="40" w:line="360" w:lineRule="auto"/>
      </w:pPr>
      <w:r>
        <w:rPr>
          <w:rFonts w:ascii="Times New Roman" w:hAnsi="Times New Roman" w:eastAsia="宋体"/>
          <w:b w:val="0"/>
          <w:sz w:val="21"/>
        </w:rPr>
        <w:t>设备清册：凝汽器、循环水泵、冷却塔风机的具体型号与铭牌参数（陈东论文没有型号，不能照抄，必须现场拿）。</w:t>
      </w:r>
    </w:p>
    <w:p w14:paraId="64F6E8C0">
      <w:pPr>
        <w:pStyle w:val="16"/>
        <w:spacing w:after="40" w:line="360" w:lineRule="auto"/>
      </w:pPr>
      <w:r>
        <w:rPr>
          <w:rFonts w:ascii="Times New Roman" w:hAnsi="Times New Roman" w:eastAsia="宋体"/>
          <w:b w:val="0"/>
          <w:sz w:val="21"/>
        </w:rPr>
        <w:t>DCS 测点清单与历史数据：循环水流量、凝汽器进出水温度、排汽压力/背压、真空、负荷、环境温湿度、泵/风机频率与电流、阀门开度。</w:t>
      </w:r>
    </w:p>
    <w:p w14:paraId="676D5733">
      <w:pPr>
        <w:pStyle w:val="16"/>
        <w:spacing w:after="40" w:line="360" w:lineRule="auto"/>
      </w:pPr>
      <w:r>
        <w:rPr>
          <w:rFonts w:ascii="Times New Roman" w:hAnsi="Times New Roman" w:eastAsia="宋体"/>
          <w:b w:val="0"/>
          <w:sz w:val="21"/>
        </w:rPr>
        <w:t>循泵变频改造的参数与投运时间，以及投运前后的运行数据。</w:t>
      </w:r>
    </w:p>
    <w:p w14:paraId="20856C59">
      <w:pPr>
        <w:pStyle w:val="16"/>
        <w:spacing w:after="40" w:line="360" w:lineRule="auto"/>
      </w:pPr>
      <w:r>
        <w:rPr>
          <w:rFonts w:ascii="Times New Roman" w:hAnsi="Times New Roman" w:eastAsia="宋体"/>
          <w:b w:val="0"/>
          <w:sz w:val="21"/>
        </w:rPr>
        <w:t>Dymola 版本与 FMU 代码导出授权情况（决定能否独立运行 FMU）。</w:t>
      </w:r>
    </w:p>
    <w:p w14:paraId="30C2E2E9">
      <w:pPr>
        <w:spacing w:before="240" w:after="120" w:line="360" w:lineRule="auto"/>
      </w:pPr>
      <w:r>
        <w:rPr>
          <w:rFonts w:ascii="Arial" w:hAnsi="Arial" w:eastAsia="黑体"/>
          <w:b/>
          <w:sz w:val="28"/>
        </w:rPr>
        <w:t>十一、已完成的产物（新对话可直接调用，无需重做）</w:t>
      </w:r>
    </w:p>
    <w:p w14:paraId="3BDBCF8A">
      <w:pPr>
        <w:pStyle w:val="16"/>
        <w:spacing w:after="40" w:line="360" w:lineRule="auto"/>
      </w:pPr>
      <w:r>
        <w:rPr>
          <w:rFonts w:ascii="Times New Roman" w:hAnsi="Times New Roman" w:eastAsia="宋体"/>
          <w:b w:val="0"/>
          <w:sz w:val="21"/>
        </w:rPr>
        <w:t>文献总表（约 58 条，含核心期刊、硕博论文、链接）：飞书表格 Fb4isdapeuBZUtfGPBcy7bZnYP，本地“冷端课题文献总表.xlsx”。</w:t>
      </w:r>
    </w:p>
    <w:p w14:paraId="70A959FC">
      <w:pPr>
        <w:pStyle w:val="16"/>
        <w:spacing w:after="40" w:line="360" w:lineRule="auto"/>
      </w:pPr>
      <w:r>
        <w:rPr>
          <w:rFonts w:ascii="Times New Roman" w:hAnsi="Times New Roman" w:eastAsia="宋体"/>
          <w:b w:val="0"/>
          <w:sz w:val="21"/>
        </w:rPr>
        <w:t>研究综述：本地“冷端智能运维研究综述.docx”（约 8300 字、55 条参考文献）。</w:t>
      </w:r>
    </w:p>
    <w:p w14:paraId="08C82E2E">
      <w:pPr>
        <w:pStyle w:val="16"/>
        <w:spacing w:after="40" w:line="360" w:lineRule="auto"/>
      </w:pPr>
      <w:r>
        <w:rPr>
          <w:rFonts w:ascii="Times New Roman" w:hAnsi="Times New Roman" w:eastAsia="宋体"/>
          <w:b w:val="0"/>
          <w:sz w:val="21"/>
        </w:rPr>
        <w:t>Dymola 教学 PPT：飞书 PscbsxF39lF94tdMb2pcpIl8n4f，本地“Dymola系统建模入门——以燃机电厂冷端为例.pptx/pdf”。</w:t>
      </w:r>
    </w:p>
    <w:p w14:paraId="6175CABF">
      <w:pPr>
        <w:pStyle w:val="16"/>
        <w:spacing w:after="40" w:line="360" w:lineRule="auto"/>
      </w:pPr>
      <w:r>
        <w:rPr>
          <w:rFonts w:ascii="Times New Roman" w:hAnsi="Times New Roman" w:eastAsia="宋体"/>
          <w:b w:val="0"/>
          <w:sz w:val="21"/>
        </w:rPr>
        <w:t>操作手册：本地“冷端DRL论文全程操作手册.md”及“_最终版.md”。</w:t>
      </w:r>
    </w:p>
    <w:p w14:paraId="1634DDDD">
      <w:pPr>
        <w:pStyle w:val="16"/>
        <w:spacing w:after="40" w:line="360" w:lineRule="auto"/>
      </w:pPr>
      <w:r>
        <w:rPr>
          <w:rFonts w:ascii="Times New Roman" w:hAnsi="Times New Roman" w:eastAsia="宋体"/>
          <w:b w:val="0"/>
          <w:sz w:val="21"/>
        </w:rPr>
        <w:t>选题说明：本地“硕士学位论文选题方向说明.docx”。</w:t>
      </w:r>
    </w:p>
    <w:p w14:paraId="10B78D83">
      <w:pPr>
        <w:spacing w:before="160" w:after="80"/>
      </w:pPr>
      <w:r>
        <w:rPr>
          <w:rFonts w:ascii="Arial" w:hAnsi="Arial" w:eastAsia="黑体"/>
          <w:b/>
          <w:sz w:val="22"/>
        </w:rPr>
        <w:t>作为路线模板的两篇精读文献（结论可直接复用）</w:t>
      </w:r>
    </w:p>
    <w:p w14:paraId="695A9244">
      <w:pPr>
        <w:pStyle w:val="16"/>
        <w:spacing w:after="40" w:line="360" w:lineRule="auto"/>
      </w:pPr>
      <w:r>
        <w:rPr>
          <w:rFonts w:ascii="Times New Roman" w:hAnsi="Times New Roman" w:eastAsia="宋体"/>
          <w:b w:val="0"/>
          <w:sz w:val="21"/>
        </w:rPr>
        <w:t>陈东《核电直流冷却系统运行特性及优化研究》华电硕士（导师杜小泽、企业导师刘学，2024.5）：MATLAB 建模平均误差约 0.4%；循泵 2 台×7700 kW、占厂用电 21%；用改进弗留格尔、HEI 传热 K=F_C·K0·F_M·F_W、泵特性/管路/耗功公式与相似定律；优化清洗周期、变频调水量，给出多策略对比。注意：它无凝汽器/循泵型号，不能照抄。</w:t>
      </w:r>
    </w:p>
    <w:p w14:paraId="1CBFB8F3">
      <w:pPr>
        <w:pStyle w:val="16"/>
        <w:spacing w:after="40" w:line="360" w:lineRule="auto"/>
      </w:pPr>
      <w:r>
        <w:rPr>
          <w:rFonts w:ascii="Times New Roman" w:hAnsi="Times New Roman" w:eastAsia="宋体"/>
          <w:b w:val="0"/>
          <w:sz w:val="21"/>
        </w:rPr>
        <w:t>张宇哲、赵千川（清华）《Energy Saving Algorithm of HVAC System Based on DRL with Modelica Model》，CCC 2022：OpenModelica（MSL+Buildings Library）建模，按 ASHRAE Guideline 14 校准（MBE 3.61%、CV(RMSE) 3.05%），自编码器提特征 + DDPG 控冷冻水泵；消融 2 维 COP +3.43%、7 维 +5.31%、AE+DDPG +7.41%。这是与我“Modelica+RL”路线最一致的模板，可直接套用其建模—Gym 协同—消融写法。</w:t>
      </w:r>
    </w:p>
    <w:p w14:paraId="117E8CA1">
      <w:pPr>
        <w:pStyle w:val="16"/>
        <w:spacing w:after="40" w:line="360" w:lineRule="auto"/>
      </w:pPr>
      <w:r>
        <w:rPr>
          <w:rFonts w:ascii="Times New Roman" w:hAnsi="Times New Roman" w:eastAsia="宋体"/>
          <w:b w:val="0"/>
          <w:sz w:val="21"/>
        </w:rPr>
        <w:t>DeepMind 冷却控制 BCOOLER（arxiv.org/abs/2211.07357）及 NTU 数据中心 DDPG（arxiv.org/abs/1709.05077）等，作为 RL 冷却的方法与奖励/安全护栏参考。</w:t>
      </w:r>
    </w:p>
    <w:p w14:paraId="67EA652B">
      <w:pPr>
        <w:spacing w:before="240" w:after="120" w:line="360" w:lineRule="auto"/>
      </w:pPr>
      <w:r>
        <w:rPr>
          <w:rFonts w:ascii="Arial" w:hAnsi="Arial" w:eastAsia="黑体"/>
          <w:b/>
          <w:sz w:val="28"/>
        </w:rPr>
        <w:t>十二、结语</w:t>
      </w:r>
    </w:p>
    <w:p w14:paraId="5FC18D65">
      <w:pPr>
        <w:spacing w:after="80" w:line="360" w:lineRule="auto"/>
        <w:ind w:firstLine="420"/>
      </w:pPr>
      <w:r>
        <w:rPr>
          <w:rFonts w:ascii="Times New Roman" w:hAnsi="Times New Roman" w:eastAsia="宋体"/>
          <w:b w:val="0"/>
          <w:sz w:val="21"/>
        </w:rPr>
        <w:t>整体思路是“求稳又出新”：以成熟的数字孪生机理建模和稳态优化为稳妥主体（保证论文能完成、有工程依托），以深度强化学习全工况寻优、多执行器协同、旁路工况三处为创新点；第 3 章在线辨识作为孪生体精度保障，使逻辑形成“建模—辨识—寻优—验证”完整闭环，最像一篇完整的硕士论文。</w:t>
      </w:r>
    </w:p>
    <w:p w14:paraId="6E9F890D">
      <w:pPr>
        <w:spacing w:after="80" w:line="360" w:lineRule="auto"/>
        <w:ind w:firstLine="420"/>
      </w:pPr>
      <w:r>
        <w:rPr>
          <w:rFonts w:ascii="Times New Roman" w:hAnsi="Times New Roman" w:eastAsia="宋体"/>
          <w:b w:val="0"/>
          <w:sz w:val="21"/>
        </w:rPr>
        <w:t>请新对话在我开始具体操作时，按第八章顺序逐步、具体地指导我，尤其在环境搭建、FMPy、Gym 封装、SAC 训练与在线辨识这几处给出可直接照做的步骤和代码解释。</w:t>
      </w:r>
    </w:p>
    <w:p w14:paraId="74CC56A1">
      <w:pPr>
        <w:spacing w:before="280"/>
        <w:rPr>
          <w:rFonts w:hint="default" w:eastAsia="黑体"/>
          <w:lang w:val="en-US" w:eastAsia="zh-CN"/>
        </w:rPr>
      </w:pPr>
      <w:r>
        <w:rPr>
          <w:rFonts w:ascii="Times New Roman" w:hAnsi="Times New Roman" w:eastAsia="黑体"/>
          <w:b/>
          <w:sz w:val="20"/>
        </w:rPr>
        <w:t>【非常重要】对于 Office Word 任务而言，当用户提出了新的指令时，你的第一个工具调用必须是重新</w:t>
      </w:r>
      <w:r>
        <w:rPr>
          <w:rFonts w:hint="eastAsia" w:eastAsia="黑体"/>
          <w:b/>
          <w:sz w:val="20"/>
          <w:lang w:val="en-US" w:eastAsia="zh-CN"/>
        </w:rPr>
        <w:t>阅读此文档</w:t>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98977A1"/>
    <w:rsid w:val="0A6D6DF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5902</Words>
  <Characters>6966</Characters>
  <Lines>0</Lines>
  <Paragraphs>0</Paragraphs>
  <TotalTime>31</TotalTime>
  <ScaleCrop>false</ScaleCrop>
  <LinksUpToDate>false</LinksUpToDate>
  <CharactersWithSpaces>7293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邢致远</cp:lastModifiedBy>
  <dcterms:modified xsi:type="dcterms:W3CDTF">2026-10-13T07:48:59Z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eyJoZGlkIjoiNjAyYTY4NjQ2MWUzODI4Y2JkMTFiOWM0YjY1ODcyN2EiLCJ1c2VySWQiOiIxOTAxMzQ4MjIwIn0=</vt:lpwstr>
  </property>
  <property fmtid="{D5CDD505-2E9C-101B-9397-08002B2CF9AE}" pid="3" name="KSOProductBuildVer">
    <vt:lpwstr>2052-12.1.0.28505</vt:lpwstr>
  </property>
  <property fmtid="{D5CDD505-2E9C-101B-9397-08002B2CF9AE}" pid="4" name="ICV">
    <vt:lpwstr>EF64DE6B45F3471DAC3F848B5E89F62C_12</vt:lpwstr>
  </property>
</Properties>
</file>