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9461" w14:textId="22652119" w:rsidR="001B25A2" w:rsidRPr="00217A70" w:rsidRDefault="001B25A2" w:rsidP="001B25A2">
      <w:pPr>
        <w:pStyle w:val="Heading2"/>
        <w:spacing w:before="0" w:after="0"/>
        <w:jc w:val="center"/>
        <w:rPr>
          <w:rFonts w:ascii="Calibri" w:hAnsi="Calibri" w:cs="Calibri"/>
          <w:b/>
          <w:bCs/>
        </w:rPr>
      </w:pPr>
      <w:r w:rsidRPr="00217A70">
        <w:rPr>
          <w:rFonts w:ascii="Calibri" w:hAnsi="Calibri" w:cs="Calibri"/>
          <w:b/>
          <w:bCs/>
        </w:rPr>
        <w:t xml:space="preserve">Guide on deploying the LUTO model on </w:t>
      </w:r>
    </w:p>
    <w:p w14:paraId="39AFE01F" w14:textId="00BD6829" w:rsidR="003C32B7" w:rsidRPr="00217A70" w:rsidRDefault="001B25A2" w:rsidP="001B25A2">
      <w:pPr>
        <w:pStyle w:val="Heading2"/>
        <w:spacing w:before="0" w:after="0"/>
        <w:jc w:val="center"/>
        <w:rPr>
          <w:rFonts w:ascii="Calibri" w:hAnsi="Calibri" w:cs="Calibri"/>
          <w:b/>
          <w:bCs/>
        </w:rPr>
      </w:pPr>
      <w:r w:rsidRPr="00217A70">
        <w:rPr>
          <w:rFonts w:ascii="Calibri" w:hAnsi="Calibri" w:cs="Calibri"/>
          <w:b/>
          <w:bCs/>
        </w:rPr>
        <w:t xml:space="preserve">a </w:t>
      </w:r>
      <w:r w:rsidRPr="00217A70">
        <w:rPr>
          <w:rFonts w:ascii="Calibri" w:hAnsi="Calibri" w:cs="Calibri"/>
          <w:b/>
          <w:bCs/>
        </w:rPr>
        <w:t>High-performance computing</w:t>
      </w:r>
      <w:r w:rsidRPr="00217A70">
        <w:rPr>
          <w:rFonts w:ascii="Calibri" w:hAnsi="Calibri" w:cs="Calibri"/>
          <w:b/>
          <w:bCs/>
        </w:rPr>
        <w:t xml:space="preserve"> (HPC) node</w:t>
      </w:r>
    </w:p>
    <w:p w14:paraId="2E7E8353" w14:textId="77777777" w:rsidR="001B25A2" w:rsidRPr="00217A70" w:rsidRDefault="001B25A2">
      <w:pPr>
        <w:rPr>
          <w:rFonts w:ascii="Calibri" w:hAnsi="Calibri" w:cs="Calibri"/>
        </w:rPr>
      </w:pPr>
    </w:p>
    <w:p w14:paraId="6CBE0395" w14:textId="3616558B" w:rsidR="001B25A2" w:rsidRPr="00217A70" w:rsidRDefault="001B25A2" w:rsidP="00217A70">
      <w:pPr>
        <w:spacing w:after="0"/>
        <w:ind w:left="142"/>
        <w:rPr>
          <w:rStyle w:val="IntenseEmphasis"/>
          <w:rFonts w:ascii="Calibri" w:hAnsi="Calibri" w:cs="Calibri"/>
        </w:rPr>
      </w:pPr>
      <w:r w:rsidRPr="00217A70">
        <w:rPr>
          <w:rStyle w:val="IntenseEmphasis"/>
          <w:rFonts w:ascii="Calibri" w:hAnsi="Calibri" w:cs="Calibri"/>
        </w:rPr>
        <w:t>Why deploy LUTO on an HPC?</w:t>
      </w:r>
    </w:p>
    <w:p w14:paraId="4DC8DB48" w14:textId="4E310F07" w:rsidR="001B25A2" w:rsidRDefault="00217A70" w:rsidP="003E5DE4">
      <w:pPr>
        <w:rPr>
          <w:lang w:val="en-US"/>
        </w:rPr>
      </w:pPr>
      <w:r w:rsidRPr="00217A70">
        <w:t xml:space="preserve">Running </w:t>
      </w:r>
      <w:r w:rsidR="001B25A2" w:rsidRPr="00217A70">
        <w:t>LUTO</w:t>
      </w:r>
      <w:r w:rsidRPr="00217A70">
        <w:t xml:space="preserve"> (</w:t>
      </w:r>
      <w:r w:rsidRPr="00217A70">
        <w:t>Land-Use Trade-Offs</w:t>
      </w:r>
      <w:r w:rsidRPr="00217A70">
        <w:t>) requires 50G to 200G, depending on the spatial gratuity</w:t>
      </w:r>
      <w:r w:rsidR="006542BB">
        <w:rPr>
          <w:rFonts w:hint="eastAsia"/>
        </w:rPr>
        <w:t>, of memory</w:t>
      </w:r>
      <w:r w:rsidR="006542BB">
        <w:t>,</w:t>
      </w:r>
      <w:r w:rsidR="006542BB">
        <w:rPr>
          <w:rFonts w:hint="eastAsia"/>
        </w:rPr>
        <w:t xml:space="preserve"> and 10 to 30 CPU threads </w:t>
      </w:r>
      <w:r w:rsidR="006542BB">
        <w:t>to parallelize the parameter searching and output writing</w:t>
      </w:r>
      <w:r w:rsidR="006542BB">
        <w:rPr>
          <w:lang w:val="en-US"/>
        </w:rPr>
        <w:t xml:space="preserve">. </w:t>
      </w:r>
      <w:r w:rsidR="00AE6567">
        <w:rPr>
          <w:lang w:val="en-US"/>
        </w:rPr>
        <w:t xml:space="preserve">To answer the many “what-if” questions, we often want to test LUTO with different scenario settings such as climate change, demand trajectory, and cost and revenue. </w:t>
      </w:r>
      <w:r w:rsidR="003E5DE4">
        <w:rPr>
          <w:lang w:val="en-US"/>
        </w:rPr>
        <w:t>Intensive</w:t>
      </w:r>
      <w:r w:rsidR="00AE6567">
        <w:rPr>
          <w:lang w:val="en-US"/>
        </w:rPr>
        <w:t xml:space="preserve"> computation and, oftentimes, multiple </w:t>
      </w:r>
      <w:r w:rsidR="003E5DE4">
        <w:rPr>
          <w:lang w:val="en-US"/>
        </w:rPr>
        <w:t>scenarios exploiting</w:t>
      </w:r>
      <w:r w:rsidR="00AE6567">
        <w:rPr>
          <w:lang w:val="en-US"/>
        </w:rPr>
        <w:t xml:space="preserve"> </w:t>
      </w:r>
      <w:r w:rsidR="003E5DE4">
        <w:rPr>
          <w:lang w:val="en-US"/>
        </w:rPr>
        <w:t xml:space="preserve">nature </w:t>
      </w:r>
      <w:r w:rsidR="00AE6567">
        <w:rPr>
          <w:lang w:val="en-US"/>
        </w:rPr>
        <w:t xml:space="preserve">demand an efficient way to </w:t>
      </w:r>
      <w:r w:rsidR="003E5DE4">
        <w:rPr>
          <w:lang w:val="en-US"/>
        </w:rPr>
        <w:t>run LUTO and deploy it on HPC is a proper choice.</w:t>
      </w:r>
    </w:p>
    <w:p w14:paraId="29901997" w14:textId="77777777" w:rsidR="003E5DE4" w:rsidRDefault="003E5DE4" w:rsidP="00217A70">
      <w:pPr>
        <w:spacing w:after="0"/>
        <w:ind w:left="426"/>
        <w:rPr>
          <w:rFonts w:ascii="Calibri" w:hAnsi="Calibri" w:cs="Calibri"/>
          <w:lang w:val="en-US"/>
        </w:rPr>
      </w:pPr>
    </w:p>
    <w:p w14:paraId="66A2B2A1" w14:textId="70495675" w:rsidR="003E5DE4" w:rsidRDefault="003E5DE4" w:rsidP="003E5DE4">
      <w:pPr>
        <w:spacing w:after="0"/>
        <w:ind w:left="142"/>
        <w:rPr>
          <w:rStyle w:val="IntenseEmphasis"/>
          <w:rFonts w:ascii="Calibri" w:hAnsi="Calibri" w:cs="Calibri"/>
        </w:rPr>
      </w:pPr>
      <w:r>
        <w:rPr>
          <w:rStyle w:val="IntenseEmphasis"/>
          <w:rFonts w:ascii="Calibri" w:hAnsi="Calibri" w:cs="Calibri"/>
        </w:rPr>
        <w:t>Knowledge requirement.</w:t>
      </w:r>
    </w:p>
    <w:p w14:paraId="74488DAB" w14:textId="53914731" w:rsidR="003E5DE4" w:rsidRDefault="003E5DE4" w:rsidP="003E5DE4">
      <w:pPr>
        <w:rPr>
          <w:lang w:val="en-US"/>
        </w:rPr>
      </w:pPr>
      <w:r>
        <w:rPr>
          <w:lang w:val="en-US"/>
        </w:rPr>
        <w:t>Although we have tried our best to wrap the deploying process into several simple commands, it is still suggested that users have a basic level of understanding of Python and Linux commands.</w:t>
      </w:r>
    </w:p>
    <w:p w14:paraId="49708369" w14:textId="4A290E27" w:rsidR="003E5DE4" w:rsidRPr="003E1D5A" w:rsidRDefault="003E5DE4" w:rsidP="003E1D5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3E1D5A">
        <w:rPr>
          <w:sz w:val="22"/>
          <w:szCs w:val="22"/>
          <w:lang w:val="en-US"/>
        </w:rPr>
        <w:t xml:space="preserve">For the Python part, users are assumed to know what packages are, understand how to create a Python environment with </w:t>
      </w:r>
      <w:hyperlink r:id="rId5" w:history="1">
        <w:r w:rsidRPr="003E1D5A">
          <w:rPr>
            <w:rStyle w:val="Hyperlink"/>
            <w:sz w:val="22"/>
            <w:szCs w:val="22"/>
            <w:lang w:val="en-US"/>
          </w:rPr>
          <w:t>Conda</w:t>
        </w:r>
      </w:hyperlink>
      <w:r w:rsidR="0099006F" w:rsidRPr="003E1D5A">
        <w:rPr>
          <w:sz w:val="22"/>
          <w:szCs w:val="22"/>
          <w:lang w:val="en-US"/>
        </w:rPr>
        <w:t xml:space="preserve">, and be able to type commands using </w:t>
      </w:r>
      <w:proofErr w:type="spellStart"/>
      <w:r w:rsidR="0099006F" w:rsidRPr="003E1D5A">
        <w:rPr>
          <w:sz w:val="22"/>
          <w:szCs w:val="22"/>
          <w:lang w:val="en-US"/>
        </w:rPr>
        <w:t>iPython</w:t>
      </w:r>
      <w:proofErr w:type="spellEnd"/>
      <w:r w:rsidR="0099006F" w:rsidRPr="003E1D5A">
        <w:rPr>
          <w:sz w:val="22"/>
          <w:szCs w:val="22"/>
          <w:lang w:val="en-US"/>
        </w:rPr>
        <w:t>.</w:t>
      </w:r>
    </w:p>
    <w:p w14:paraId="353DEBC4" w14:textId="671C83DF" w:rsidR="0099006F" w:rsidRPr="003E1D5A" w:rsidRDefault="0099006F" w:rsidP="003E1D5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3E1D5A">
        <w:rPr>
          <w:sz w:val="22"/>
          <w:szCs w:val="22"/>
          <w:lang w:val="en-US"/>
        </w:rPr>
        <w:t>For the Linux part, users are assumed to understand the concept of relative and absolute paths, know how to change directories</w:t>
      </w:r>
      <w:r w:rsidR="003E1D5A">
        <w:rPr>
          <w:sz w:val="22"/>
          <w:szCs w:val="22"/>
          <w:lang w:val="en-US"/>
        </w:rPr>
        <w:t>,</w:t>
      </w:r>
      <w:r w:rsidRPr="003E1D5A">
        <w:rPr>
          <w:sz w:val="22"/>
          <w:szCs w:val="22"/>
          <w:lang w:val="en-US"/>
        </w:rPr>
        <w:t xml:space="preserve"> and use bash to execute a script. </w:t>
      </w:r>
    </w:p>
    <w:p w14:paraId="3D23557B" w14:textId="486C2460" w:rsidR="0099006F" w:rsidRPr="003E1D5A" w:rsidRDefault="0099006F" w:rsidP="003E1D5A">
      <w:pPr>
        <w:pStyle w:val="ListParagraph"/>
        <w:numPr>
          <w:ilvl w:val="0"/>
          <w:numId w:val="2"/>
        </w:numPr>
        <w:rPr>
          <w:rFonts w:hint="eastAsia"/>
          <w:sz w:val="22"/>
          <w:szCs w:val="22"/>
          <w:lang w:val="en-US"/>
        </w:rPr>
      </w:pPr>
      <w:r w:rsidRPr="003E1D5A">
        <w:rPr>
          <w:sz w:val="22"/>
          <w:szCs w:val="22"/>
          <w:lang w:val="en-US"/>
        </w:rPr>
        <w:t>For the code management part, users are assumed to have the knowledge of cloning (</w:t>
      </w:r>
      <w:r w:rsidR="003E1D5A" w:rsidRPr="003E1D5A">
        <w:rPr>
          <w:sz w:val="22"/>
          <w:szCs w:val="22"/>
          <w:lang w:val="en-US"/>
        </w:rPr>
        <w:t>i.e.</w:t>
      </w:r>
      <w:r w:rsidRPr="003E1D5A">
        <w:rPr>
          <w:sz w:val="22"/>
          <w:szCs w:val="22"/>
          <w:lang w:val="en-US"/>
        </w:rPr>
        <w:t xml:space="preserve">, downloading) the LUTO model and updating the code </w:t>
      </w:r>
      <w:r w:rsidRPr="003E1D5A">
        <w:rPr>
          <w:sz w:val="22"/>
          <w:szCs w:val="22"/>
          <w:lang w:val="en-US"/>
        </w:rPr>
        <w:t xml:space="preserve">from </w:t>
      </w:r>
      <w:hyperlink r:id="rId6" w:history="1">
        <w:r w:rsidRPr="003E1D5A">
          <w:rPr>
            <w:rStyle w:val="Hyperlink"/>
            <w:sz w:val="22"/>
            <w:szCs w:val="22"/>
            <w:lang w:val="en-US"/>
          </w:rPr>
          <w:t>GitHub</w:t>
        </w:r>
      </w:hyperlink>
      <w:r w:rsidRPr="003E1D5A">
        <w:rPr>
          <w:sz w:val="22"/>
          <w:szCs w:val="22"/>
          <w:lang w:val="en-US"/>
        </w:rPr>
        <w:t>.</w:t>
      </w:r>
    </w:p>
    <w:p w14:paraId="0D40EF20" w14:textId="77777777" w:rsidR="001B25A2" w:rsidRPr="00217A70" w:rsidRDefault="001B25A2" w:rsidP="001B25A2">
      <w:pPr>
        <w:spacing w:after="0"/>
        <w:rPr>
          <w:rFonts w:ascii="Calibri" w:hAnsi="Calibri" w:cs="Calibri"/>
        </w:rPr>
      </w:pPr>
    </w:p>
    <w:p w14:paraId="2B9278F0" w14:textId="56EA1BBF" w:rsidR="00227F83" w:rsidRDefault="00227F83" w:rsidP="007E7F1A">
      <w:pPr>
        <w:ind w:left="142"/>
        <w:rPr>
          <w:rStyle w:val="IntenseEmphasis"/>
          <w:rFonts w:ascii="Calibri" w:hAnsi="Calibri" w:cs="Calibri"/>
        </w:rPr>
      </w:pPr>
      <w:r>
        <w:rPr>
          <w:rStyle w:val="IntenseEmphasis"/>
          <w:rFonts w:ascii="Calibri" w:hAnsi="Calibri" w:cs="Calibri"/>
        </w:rPr>
        <w:t>The minimal deploying case.</w:t>
      </w:r>
    </w:p>
    <w:tbl>
      <w:tblPr>
        <w:tblStyle w:val="PlainTable1"/>
        <w:tblW w:w="8964" w:type="dxa"/>
        <w:tblInd w:w="675" w:type="dxa"/>
        <w:tblLook w:val="04A0" w:firstRow="1" w:lastRow="0" w:firstColumn="1" w:lastColumn="0" w:noHBand="0" w:noVBand="1"/>
      </w:tblPr>
      <w:tblGrid>
        <w:gridCol w:w="993"/>
        <w:gridCol w:w="5412"/>
        <w:gridCol w:w="2559"/>
      </w:tblGrid>
      <w:tr w:rsidR="006A1FE6" w:rsidRPr="007E7F1A" w14:paraId="1651DD4D" w14:textId="77777777" w:rsidTr="0008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45B0E1" w:themeFill="accent1" w:themeFillTint="99"/>
            <w:vAlign w:val="center"/>
          </w:tcPr>
          <w:p w14:paraId="284C0F46" w14:textId="0255A591" w:rsidR="00244CA8" w:rsidRPr="007E7F1A" w:rsidRDefault="00244CA8" w:rsidP="007E7F1A">
            <w:pPr>
              <w:snapToGrid w:val="0"/>
              <w:ind w:left="0"/>
              <w:jc w:val="center"/>
              <w:rPr>
                <w:sz w:val="22"/>
                <w:szCs w:val="22"/>
              </w:rPr>
            </w:pPr>
            <w:r w:rsidRPr="007E7F1A">
              <w:rPr>
                <w:sz w:val="22"/>
                <w:szCs w:val="22"/>
              </w:rPr>
              <w:t>No</w:t>
            </w:r>
            <w:r w:rsidR="007E7F1A" w:rsidRPr="007E7F1A">
              <w:rPr>
                <w:sz w:val="22"/>
                <w:szCs w:val="22"/>
              </w:rPr>
              <w:t>.</w:t>
            </w:r>
          </w:p>
        </w:tc>
        <w:tc>
          <w:tcPr>
            <w:tcW w:w="5412" w:type="dxa"/>
            <w:shd w:val="clear" w:color="auto" w:fill="45B0E1" w:themeFill="accent1" w:themeFillTint="99"/>
            <w:vAlign w:val="center"/>
          </w:tcPr>
          <w:p w14:paraId="08F2A5C8" w14:textId="28A07BA4" w:rsidR="00244CA8" w:rsidRPr="007E7F1A" w:rsidRDefault="007E7F1A" w:rsidP="007E7F1A">
            <w:pPr>
              <w:snapToGrid w:val="0"/>
              <w:ind w:left="56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7F1A">
              <w:rPr>
                <w:sz w:val="22"/>
                <w:szCs w:val="22"/>
              </w:rPr>
              <w:t>Operation</w:t>
            </w:r>
          </w:p>
        </w:tc>
        <w:tc>
          <w:tcPr>
            <w:tcW w:w="2559" w:type="dxa"/>
            <w:shd w:val="clear" w:color="auto" w:fill="45B0E1" w:themeFill="accent1" w:themeFillTint="99"/>
            <w:vAlign w:val="center"/>
          </w:tcPr>
          <w:p w14:paraId="5FCEA9B8" w14:textId="64DA61BF" w:rsidR="00244CA8" w:rsidRPr="007E7F1A" w:rsidRDefault="007E7F1A" w:rsidP="007E7F1A">
            <w:pPr>
              <w:snapToGrid w:val="0"/>
              <w:ind w:left="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One-time operation?</w:t>
            </w:r>
          </w:p>
        </w:tc>
      </w:tr>
      <w:tr w:rsidR="006A1FE6" w:rsidRPr="007E7F1A" w14:paraId="3D404DC4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DA38433" w14:textId="3D5A13F5" w:rsidR="00244CA8" w:rsidRPr="000820D4" w:rsidRDefault="007E7F1A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5412" w:type="dxa"/>
            <w:vAlign w:val="center"/>
          </w:tcPr>
          <w:p w14:paraId="65137F54" w14:textId="2761A094" w:rsidR="00244CA8" w:rsidRPr="007E7F1A" w:rsidRDefault="007E7F1A" w:rsidP="007E7F1A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Install the </w:t>
            </w:r>
            <w:proofErr w:type="spellStart"/>
            <w:r>
              <w:rPr>
                <w:sz w:val="22"/>
                <w:szCs w:val="22"/>
              </w:rPr>
              <w:t>Gurobi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7E7F1A">
              <w:rPr>
                <w:sz w:val="22"/>
                <w:szCs w:val="22"/>
                <w:vertAlign w:val="superscript"/>
              </w:rPr>
              <w:t>TM</w:t>
            </w:r>
            <w:r>
              <w:rPr>
                <w:sz w:val="22"/>
                <w:szCs w:val="22"/>
              </w:rPr>
              <w:t xml:space="preserve"> optimizer</w:t>
            </w:r>
          </w:p>
        </w:tc>
        <w:tc>
          <w:tcPr>
            <w:tcW w:w="2559" w:type="dxa"/>
            <w:vAlign w:val="center"/>
          </w:tcPr>
          <w:p w14:paraId="38089B73" w14:textId="76CDF64A" w:rsidR="00244CA8" w:rsidRPr="007E7F1A" w:rsidRDefault="007E7F1A" w:rsidP="007E7F1A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244CA8" w:rsidRPr="007E7F1A" w14:paraId="7C9798C8" w14:textId="77777777" w:rsidTr="000820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B9BB756" w14:textId="43BC6483" w:rsidR="00244CA8" w:rsidRPr="000820D4" w:rsidRDefault="007E7F1A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5412" w:type="dxa"/>
            <w:vAlign w:val="center"/>
          </w:tcPr>
          <w:p w14:paraId="3FD51B02" w14:textId="5000AB92" w:rsidR="00244CA8" w:rsidRPr="007E7F1A" w:rsidRDefault="00446D9D" w:rsidP="007E7F1A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to the HPC</w:t>
            </w:r>
          </w:p>
        </w:tc>
        <w:tc>
          <w:tcPr>
            <w:tcW w:w="2559" w:type="dxa"/>
            <w:vAlign w:val="center"/>
          </w:tcPr>
          <w:p w14:paraId="6D7A017A" w14:textId="7E09D1E1" w:rsidR="00244CA8" w:rsidRPr="007E7F1A" w:rsidRDefault="001B363B" w:rsidP="007E7F1A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446D9D" w:rsidRPr="007E7F1A" w14:paraId="3756B48A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A3F1076" w14:textId="2D68CC82" w:rsidR="00446D9D" w:rsidRPr="000820D4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5412" w:type="dxa"/>
            <w:vAlign w:val="center"/>
          </w:tcPr>
          <w:p w14:paraId="106761ED" w14:textId="2C0616A8" w:rsidR="00446D9D" w:rsidRPr="007E7F1A" w:rsidRDefault="00446D9D" w:rsidP="00446D9D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Clone LUTO from GitHub</w:t>
            </w:r>
          </w:p>
        </w:tc>
        <w:tc>
          <w:tcPr>
            <w:tcW w:w="2559" w:type="dxa"/>
            <w:vAlign w:val="center"/>
          </w:tcPr>
          <w:p w14:paraId="69247984" w14:textId="00A00267" w:rsidR="00446D9D" w:rsidRPr="007E7F1A" w:rsidRDefault="00446D9D" w:rsidP="00446D9D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446D9D" w:rsidRPr="007E7F1A" w14:paraId="32FF14EC" w14:textId="77777777" w:rsidTr="000820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458E814" w14:textId="287A65AE" w:rsidR="00446D9D" w:rsidRPr="000820D4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5412" w:type="dxa"/>
            <w:vAlign w:val="center"/>
          </w:tcPr>
          <w:p w14:paraId="31CC07DB" w14:textId="1588D4F4" w:rsidR="00446D9D" w:rsidRPr="007E7F1A" w:rsidRDefault="00446D9D" w:rsidP="00446D9D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and convert input data</w:t>
            </w:r>
          </w:p>
        </w:tc>
        <w:tc>
          <w:tcPr>
            <w:tcW w:w="2559" w:type="dxa"/>
            <w:vAlign w:val="center"/>
          </w:tcPr>
          <w:p w14:paraId="7B56260F" w14:textId="3D5E5C93" w:rsidR="00446D9D" w:rsidRPr="007E7F1A" w:rsidRDefault="00446D9D" w:rsidP="00446D9D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446D9D" w:rsidRPr="007E7F1A" w14:paraId="2B51DD2B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463FF93" w14:textId="7A9B7E80" w:rsidR="00446D9D" w:rsidRPr="000820D4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5412" w:type="dxa"/>
            <w:vAlign w:val="center"/>
          </w:tcPr>
          <w:p w14:paraId="5B506A77" w14:textId="663DDA23" w:rsidR="00446D9D" w:rsidRPr="007E7F1A" w:rsidRDefault="00446D9D" w:rsidP="00446D9D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Install </w:t>
            </w:r>
            <w:r w:rsidR="006750D9">
              <w:rPr>
                <w:sz w:val="22"/>
                <w:szCs w:val="22"/>
              </w:rPr>
              <w:t xml:space="preserve">the </w:t>
            </w:r>
            <w:proofErr w:type="spellStart"/>
            <w:r>
              <w:rPr>
                <w:sz w:val="22"/>
                <w:szCs w:val="22"/>
              </w:rPr>
              <w:t>conda</w:t>
            </w:r>
            <w:proofErr w:type="spellEnd"/>
            <w:r>
              <w:rPr>
                <w:sz w:val="22"/>
                <w:szCs w:val="22"/>
              </w:rPr>
              <w:t xml:space="preserve"> management app</w:t>
            </w:r>
          </w:p>
        </w:tc>
        <w:tc>
          <w:tcPr>
            <w:tcW w:w="2559" w:type="dxa"/>
            <w:vAlign w:val="center"/>
          </w:tcPr>
          <w:p w14:paraId="37113CAF" w14:textId="1F4B7AC5" w:rsidR="00446D9D" w:rsidRPr="007E7F1A" w:rsidRDefault="00446D9D" w:rsidP="00446D9D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446D9D" w:rsidRPr="007E7F1A" w14:paraId="3A78FD0A" w14:textId="77777777" w:rsidTr="000820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E9E7B0E" w14:textId="3A5100D7" w:rsidR="00446D9D" w:rsidRPr="000820D4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412" w:type="dxa"/>
            <w:vAlign w:val="center"/>
          </w:tcPr>
          <w:p w14:paraId="20E3D062" w14:textId="2DB189B2" w:rsidR="00446D9D" w:rsidRPr="007E7F1A" w:rsidRDefault="00446D9D" w:rsidP="00446D9D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the Python environment</w:t>
            </w:r>
          </w:p>
        </w:tc>
        <w:tc>
          <w:tcPr>
            <w:tcW w:w="2559" w:type="dxa"/>
            <w:vAlign w:val="center"/>
          </w:tcPr>
          <w:p w14:paraId="5EBE02A9" w14:textId="0EFC3900" w:rsidR="00446D9D" w:rsidRPr="007E7F1A" w:rsidRDefault="00446D9D" w:rsidP="00446D9D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446D9D" w:rsidRPr="007E7F1A" w14:paraId="30670B10" w14:textId="77777777" w:rsidTr="0008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E9034D6" w14:textId="509A1A30" w:rsidR="00446D9D" w:rsidRPr="000820D4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5412" w:type="dxa"/>
            <w:vAlign w:val="center"/>
          </w:tcPr>
          <w:p w14:paraId="0D47C52B" w14:textId="34CE5B00" w:rsidR="00446D9D" w:rsidRPr="007E7F1A" w:rsidRDefault="00446D9D" w:rsidP="00446D9D">
            <w:pPr>
              <w:snapToGrid w:val="0"/>
              <w:ind w:left="5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</w:t>
            </w:r>
            <w:r w:rsidR="00170A9E"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setting file</w:t>
            </w:r>
          </w:p>
        </w:tc>
        <w:tc>
          <w:tcPr>
            <w:tcW w:w="2559" w:type="dxa"/>
            <w:vAlign w:val="center"/>
          </w:tcPr>
          <w:p w14:paraId="1563CAC8" w14:textId="6271EB4D" w:rsidR="00446D9D" w:rsidRPr="007E7F1A" w:rsidRDefault="001B363B" w:rsidP="00446D9D">
            <w:pPr>
              <w:snapToGrid w:val="0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446D9D" w:rsidRPr="007E7F1A" w14:paraId="10A40868" w14:textId="77777777" w:rsidTr="000820D4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C202553" w14:textId="4224CD9D" w:rsidR="00446D9D" w:rsidRPr="000820D4" w:rsidRDefault="00446D9D" w:rsidP="000820D4">
            <w:pPr>
              <w:snapToGrid w:val="0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000820D4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412" w:type="dxa"/>
            <w:vAlign w:val="center"/>
          </w:tcPr>
          <w:p w14:paraId="7844CA0D" w14:textId="239583EC" w:rsidR="00446D9D" w:rsidRPr="007E7F1A" w:rsidRDefault="00791A92" w:rsidP="00446D9D">
            <w:pPr>
              <w:snapToGrid w:val="0"/>
              <w:ind w:left="5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 w:rsidR="00446D9D">
              <w:rPr>
                <w:sz w:val="22"/>
                <w:szCs w:val="22"/>
              </w:rPr>
              <w:t xml:space="preserve">ubmit tasks </w:t>
            </w:r>
            <w:r>
              <w:rPr>
                <w:rFonts w:hint="eastAsia"/>
                <w:sz w:val="22"/>
                <w:szCs w:val="22"/>
              </w:rPr>
              <w:t>to HPC</w:t>
            </w:r>
          </w:p>
        </w:tc>
        <w:tc>
          <w:tcPr>
            <w:tcW w:w="2559" w:type="dxa"/>
            <w:vAlign w:val="center"/>
          </w:tcPr>
          <w:p w14:paraId="020839F4" w14:textId="5798DEE3" w:rsidR="00446D9D" w:rsidRPr="007E7F1A" w:rsidRDefault="001B363B" w:rsidP="00446D9D">
            <w:pPr>
              <w:snapToGrid w:val="0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</w:tbl>
    <w:p w14:paraId="642245A3" w14:textId="77777777" w:rsidR="00244CA8" w:rsidRDefault="00244CA8" w:rsidP="00916D41">
      <w:pPr>
        <w:spacing w:after="0"/>
        <w:ind w:left="0"/>
        <w:rPr>
          <w:rStyle w:val="IntenseEmphasis"/>
          <w:rFonts w:ascii="Calibri" w:hAnsi="Calibri" w:cs="Calibri"/>
        </w:rPr>
      </w:pPr>
    </w:p>
    <w:p w14:paraId="29A5FE12" w14:textId="77777777" w:rsidR="00916D41" w:rsidRDefault="00916D41" w:rsidP="00916D41">
      <w:pPr>
        <w:spacing w:after="0"/>
        <w:ind w:left="0"/>
        <w:rPr>
          <w:rStyle w:val="IntenseEmphasis"/>
          <w:rFonts w:ascii="Calibri" w:hAnsi="Calibri" w:cs="Calibri"/>
        </w:rPr>
      </w:pPr>
    </w:p>
    <w:p w14:paraId="7CFC6EEC" w14:textId="77777777" w:rsidR="001B25A2" w:rsidRPr="00227F83" w:rsidRDefault="001B25A2" w:rsidP="00227F83">
      <w:pPr>
        <w:ind w:left="0"/>
        <w:rPr>
          <w:rFonts w:ascii="Calibri" w:hAnsi="Calibri" w:cs="Calibri"/>
          <w:lang w:val="en-US"/>
        </w:rPr>
      </w:pPr>
    </w:p>
    <w:p w14:paraId="2F98C963" w14:textId="77777777" w:rsidR="001B25A2" w:rsidRPr="00217A70" w:rsidRDefault="001B25A2">
      <w:pPr>
        <w:rPr>
          <w:rFonts w:ascii="Calibri" w:hAnsi="Calibri" w:cs="Calibri"/>
        </w:rPr>
      </w:pPr>
    </w:p>
    <w:sectPr w:rsidR="001B25A2" w:rsidRPr="00217A70" w:rsidSect="007922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74C9C"/>
    <w:multiLevelType w:val="hybridMultilevel"/>
    <w:tmpl w:val="5EC8992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C8123AB"/>
    <w:multiLevelType w:val="hybridMultilevel"/>
    <w:tmpl w:val="3D460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351095">
    <w:abstractNumId w:val="1"/>
  </w:num>
  <w:num w:numId="2" w16cid:durableId="199236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BAB"/>
    <w:rsid w:val="000820D4"/>
    <w:rsid w:val="00170A9E"/>
    <w:rsid w:val="001B25A2"/>
    <w:rsid w:val="001B363B"/>
    <w:rsid w:val="00217A70"/>
    <w:rsid w:val="00227F83"/>
    <w:rsid w:val="00244CA8"/>
    <w:rsid w:val="002C7EFB"/>
    <w:rsid w:val="00354BAB"/>
    <w:rsid w:val="003701EA"/>
    <w:rsid w:val="003C32B7"/>
    <w:rsid w:val="003E1D5A"/>
    <w:rsid w:val="003E5DE4"/>
    <w:rsid w:val="00446D9D"/>
    <w:rsid w:val="006542BB"/>
    <w:rsid w:val="006750D9"/>
    <w:rsid w:val="006A1FE6"/>
    <w:rsid w:val="006F5A93"/>
    <w:rsid w:val="00791A92"/>
    <w:rsid w:val="00792238"/>
    <w:rsid w:val="007E7F1A"/>
    <w:rsid w:val="00894C27"/>
    <w:rsid w:val="008D42FB"/>
    <w:rsid w:val="00916D41"/>
    <w:rsid w:val="0099006F"/>
    <w:rsid w:val="00AE6567"/>
    <w:rsid w:val="00C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8CA9B"/>
  <w15:chartTrackingRefBased/>
  <w15:docId w15:val="{7D9B0DD6-72EC-49D9-B207-D5C174C5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A70"/>
    <w:pPr>
      <w:spacing w:before="160"/>
      <w:ind w:left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AB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AB"/>
    <w:pPr>
      <w:keepNext/>
      <w:keepLines/>
      <w:spacing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BAB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D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27F8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44C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244CA8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244CA8"/>
    <w:pPr>
      <w:spacing w:after="0" w:line="240" w:lineRule="auto"/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d-use-trade-offs/luto-2.0" TargetMode="External"/><Relationship Id="rId5" Type="http://schemas.openxmlformats.org/officeDocument/2006/relationships/hyperlink" Target="https://conda.io/projects/conda/en/latest/user-guide/instal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298</Words>
  <Characters>1490</Characters>
  <Application>Microsoft Office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20</cp:revision>
  <dcterms:created xsi:type="dcterms:W3CDTF">2024-04-29T06:06:00Z</dcterms:created>
  <dcterms:modified xsi:type="dcterms:W3CDTF">2024-04-29T07:15:00Z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aab7a6b771fc3a380863feeb4a126bc0b8712db7d71ae0a180a02f346769d7b6</vt:lpwstr>
  </property>
</Properties>
</file>