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A740B" w14:textId="77777777" w:rsidR="00BA041F" w:rsidRDefault="00000000">
      <w:pPr>
        <w:pStyle w:val="PaperTitle"/>
      </w:pPr>
      <w:r>
        <w:t>Selected Draft Chapters for the Credit Risk Course Paper</w:t>
      </w:r>
    </w:p>
    <w:p w14:paraId="361282DE" w14:textId="77777777" w:rsidR="00BA041F" w:rsidRDefault="00000000">
      <w:pPr>
        <w:pStyle w:val="PaperSubtitle"/>
      </w:pPr>
      <w:r>
        <w:t>LGD &amp; EAD Estimation, Expected Loss, and Risk Segmentation Analysis</w:t>
      </w:r>
    </w:p>
    <w:p w14:paraId="7F335350" w14:textId="77777777" w:rsidR="00BA041F" w:rsidRDefault="00000000">
      <w:pPr>
        <w:pStyle w:val="PaperSubtitle"/>
      </w:pPr>
      <w:r>
        <w:t>Chapters 4 through 6 are updated below to reflect the dual-PD framework, refreshed loss-reserve application, and segmentation results.</w:t>
      </w:r>
    </w:p>
    <w:p w14:paraId="6F102E01" w14:textId="77777777" w:rsidR="00BA041F" w:rsidRDefault="00000000">
      <w:pPr>
        <w:pStyle w:val="Heading1"/>
        <w:jc w:val="left"/>
      </w:pPr>
      <w:r>
        <w:rPr>
          <w:rFonts w:ascii="Times New Roman" w:hAnsi="Times New Roman"/>
        </w:rPr>
        <w:t>1. Introduction</w:t>
      </w:r>
    </w:p>
    <w:p w14:paraId="5AC1C5A3" w14:textId="77777777" w:rsidR="00BA041F" w:rsidRDefault="00000000">
      <w:pPr>
        <w:pStyle w:val="Heading1"/>
        <w:jc w:val="left"/>
      </w:pPr>
      <w:r>
        <w:rPr>
          <w:rFonts w:ascii="Times New Roman" w:hAnsi="Times New Roman"/>
        </w:rPr>
        <w:t>2. Data and Methodology</w:t>
      </w:r>
    </w:p>
    <w:p w14:paraId="56C7DFFF" w14:textId="77777777" w:rsidR="00BA041F" w:rsidRDefault="00000000">
      <w:pPr>
        <w:pStyle w:val="Heading1"/>
        <w:jc w:val="left"/>
      </w:pPr>
      <w:r>
        <w:rPr>
          <w:rFonts w:ascii="Times New Roman" w:hAnsi="Times New Roman"/>
        </w:rPr>
        <w:t>3. Probability of Default Modeling</w:t>
      </w:r>
    </w:p>
    <w:p w14:paraId="2C45ED1A" w14:textId="77777777" w:rsidR="00BA041F" w:rsidRDefault="00BA041F">
      <w:pPr>
        <w:sectPr w:rsidR="00BA041F">
          <w:footerReference w:type="default" r:id="rId8"/>
          <w:pgSz w:w="12240" w:h="15840"/>
          <w:pgMar w:top="1440" w:right="1440" w:bottom="1440" w:left="1440" w:header="720" w:footer="720" w:gutter="0"/>
          <w:cols w:space="720"/>
          <w:docGrid w:linePitch="360"/>
        </w:sectPr>
      </w:pPr>
    </w:p>
    <w:p w14:paraId="11A5CCE6" w14:textId="77777777" w:rsidR="00BA041F" w:rsidRDefault="00000000">
      <w:pPr>
        <w:pStyle w:val="Heading1"/>
        <w:jc w:val="left"/>
      </w:pPr>
      <w:r>
        <w:rPr>
          <w:rFonts w:ascii="Times New Roman" w:hAnsi="Times New Roman"/>
        </w:rPr>
        <w:lastRenderedPageBreak/>
        <w:t>4. LGD &amp; EAD Estimation</w:t>
      </w:r>
    </w:p>
    <w:p w14:paraId="20B25B7D" w14:textId="77777777" w:rsidR="00BA041F" w:rsidRDefault="00000000">
      <w:pPr>
        <w:pStyle w:val="Heading2"/>
        <w:jc w:val="left"/>
      </w:pPr>
      <w:r>
        <w:rPr>
          <w:rFonts w:ascii="Times New Roman" w:hAnsi="Times New Roman"/>
        </w:rPr>
        <w:t>4.1 Data, Sample Construction, and Observability Constraints</w:t>
      </w:r>
    </w:p>
    <w:p w14:paraId="756C8C45" w14:textId="77777777" w:rsidR="00BA041F" w:rsidRDefault="00000000">
      <w:r>
        <w:t>The LGD and EAD layer is built from three processed datasets that play distinct empirical roles. The file `charged_off_loss_proxy.csv` contains 268,537 charged-off loans with a strictly positive charged-off exposure proxy and is the sole sample used to study realized severity. The file `test_with_loss_metrics.csv` contains 225,611 temporally held-out resolved loans and therefore permits ex post benchmarking against realized net loss. The file `cecl_active_snapshot.csv` contains 912,609 active loans and supports reserve-style measurement for the currently outstanding portfolio. This separation is economically important: severity estimation requires resolved defaults, whereas reserve analytics require current balances and remaining-life information.</w:t>
      </w:r>
    </w:p>
    <w:p w14:paraId="604E264E" w14:textId="77777777" w:rsidR="00BA041F" w:rsidRDefault="00000000">
      <w:r>
        <w:t>Public LendingClub-style loan histories do not provide a bank-grade workout ledger with an exact balance-at-default timestamp, post-default cash-flow waterfall, or contractual exposure snapshot captured at the moment of default. Accordingly, the present framework does not attempt to recover a structural default-resolution model from unobserved states. Instead, it constructs transparent proxies from funded principal, principal already repaid, reported recoveries net of collection costs, observed outstanding balance, contractual term, and elapsed months on book. The resulting LGD and EAD measures are therefore best interpreted as measurement devices for portfolio loss analytics rather than as exact workout-accounting quantities.</w:t>
      </w:r>
    </w:p>
    <w:p w14:paraId="3120661D" w14:textId="77777777" w:rsidR="00BA041F" w:rsidRDefault="00000000">
      <w:pPr>
        <w:pStyle w:val="CaptionAcademic"/>
      </w:pPr>
      <w:r>
        <w:t>Table 4.1. Principal variables used in loss-given-default and exposure-at-default construction.</w:t>
      </w:r>
    </w:p>
    <w:tbl>
      <w:tblPr>
        <w:tblStyle w:val="TableGrid"/>
        <w:tblW w:w="0" w:type="auto"/>
        <w:jc w:val="center"/>
        <w:tblLayout w:type="fixed"/>
        <w:tblLook w:val="04A0" w:firstRow="1" w:lastRow="0" w:firstColumn="1" w:lastColumn="0" w:noHBand="0" w:noVBand="1"/>
      </w:tblPr>
      <w:tblGrid>
        <w:gridCol w:w="1728"/>
        <w:gridCol w:w="2880"/>
        <w:gridCol w:w="4464"/>
      </w:tblGrid>
      <w:tr w:rsidR="00BA041F" w14:paraId="6432E111" w14:textId="77777777">
        <w:trPr>
          <w:jc w:val="center"/>
          <w:cantSplit/>
        </w:trPr>
        <w:tc>
          <w:tcPr>
            <w:tcW w:w="1512" w:type="dxa"/>
            <w:shd w:val="clear" w:color="auto" w:fill="E6E6E6"/>
            <w:vAlign w:val="center"/>
            <w:tcMar>
              <w:top w:w="35" w:type="dxa"/>
              <w:start w:w="35" w:type="dxa"/>
              <w:bottom w:w="35" w:type="dxa"/>
              <w:end w:w="35" w:type="dxa"/>
            </w:tcMar>
          </w:tcPr>
          <w:p w14:paraId="42FA2FF7" w14:textId="77777777" w:rsidR="00BA041F" w:rsidRDefault="00000000">
            <w:pPr>
              <w:pStyle w:val="TableBodyAcademic"/>
              <w:spacing w:before="0" w:after="0" w:line="240" w:lineRule="auto"/>
              <w:jc w:val="left"/>
            </w:pPr>
            <w:r>
              <w:rPr>
                <w:b/>
                <w:sz w:val="14"/>
              </w:rPr>
              <w:t>Variable</w:t>
            </w:r>
          </w:p>
        </w:tc>
        <w:tc>
          <w:tcPr>
            <w:tcW w:w="2232" w:type="dxa"/>
            <w:shd w:val="clear" w:color="auto" w:fill="E6E6E6"/>
            <w:vAlign w:val="center"/>
            <w:tcMar>
              <w:top w:w="35" w:type="dxa"/>
              <w:start w:w="35" w:type="dxa"/>
              <w:bottom w:w="35" w:type="dxa"/>
              <w:end w:w="35" w:type="dxa"/>
            </w:tcMar>
          </w:tcPr>
          <w:p w14:paraId="130EF0DF" w14:textId="77777777" w:rsidR="00BA041F" w:rsidRDefault="00000000">
            <w:pPr>
              <w:pStyle w:val="TableBodyAcademic"/>
              <w:spacing w:before="0" w:after="0" w:line="240" w:lineRule="auto"/>
              <w:jc w:val="left"/>
            </w:pPr>
            <w:r>
              <w:rPr>
                <w:b/>
                <w:sz w:val="14"/>
              </w:rPr>
              <w:t>Definition</w:t>
            </w:r>
          </w:p>
        </w:tc>
        <w:tc>
          <w:tcPr>
            <w:tcW w:w="5256" w:type="dxa"/>
            <w:shd w:val="clear" w:color="auto" w:fill="E6E6E6"/>
            <w:vAlign w:val="center"/>
            <w:tcMar>
              <w:top w:w="35" w:type="dxa"/>
              <w:start w:w="35" w:type="dxa"/>
              <w:bottom w:w="35" w:type="dxa"/>
              <w:end w:w="35" w:type="dxa"/>
            </w:tcMar>
          </w:tcPr>
          <w:p w14:paraId="3F3B6232" w14:textId="77777777" w:rsidR="00BA041F" w:rsidRDefault="00000000">
            <w:pPr>
              <w:pStyle w:val="TableBodyAcademic"/>
              <w:spacing w:before="0" w:after="0" w:line="240" w:lineRule="auto"/>
              <w:jc w:val="left"/>
            </w:pPr>
            <w:r>
              <w:rPr>
                <w:b/>
                <w:sz w:val="14"/>
              </w:rPr>
              <w:t>Analytical role</w:t>
            </w:r>
          </w:p>
        </w:tc>
      </w:tr>
      <w:tr w:rsidR="00BA041F" w14:paraId="6BEC271E" w14:textId="77777777">
        <w:trPr>
          <w:jc w:val="center"/>
          <w:cantSplit/>
        </w:trPr>
        <w:tc>
          <w:tcPr>
            <w:tcW w:w="1512" w:type="dxa"/>
            <w:vAlign w:val="center"/>
            <w:tcMar>
              <w:top w:w="35" w:type="dxa"/>
              <w:start w:w="35" w:type="dxa"/>
              <w:bottom w:w="35" w:type="dxa"/>
              <w:end w:w="35" w:type="dxa"/>
            </w:tcMar>
          </w:tcPr>
          <w:p w14:paraId="0EF13F44" w14:textId="77777777" w:rsidR="00BA041F" w:rsidRDefault="00000000">
            <w:pPr>
              <w:pStyle w:val="TableBodyAcademic"/>
              <w:spacing w:before="0" w:after="0" w:line="240" w:lineRule="auto"/>
              <w:jc w:val="left"/>
            </w:pPr>
            <w:r>
              <w:rPr>
                <w:sz w:val="14"/>
              </w:rPr>
              <w:t>Original funded principal</w:t>
            </w:r>
          </w:p>
        </w:tc>
        <w:tc>
          <w:tcPr>
            <w:tcW w:w="2232" w:type="dxa"/>
            <w:vAlign w:val="center"/>
            <w:tcMar>
              <w:top w:w="35" w:type="dxa"/>
              <w:start w:w="35" w:type="dxa"/>
              <w:bottom w:w="35" w:type="dxa"/>
              <w:end w:w="35" w:type="dxa"/>
            </w:tcMar>
          </w:tcPr>
          <w:p w14:paraId="5814D15E" w14:textId="77777777" w:rsidR="00BA041F" w:rsidRDefault="00000000">
            <w:pPr>
              <w:pStyle w:val="TableBodyAcademic"/>
              <w:spacing w:before="0" w:after="0" w:line="240" w:lineRule="auto"/>
              <w:jc w:val="right"/>
            </w:pPr>
            <w:r>
              <w:rPr>
                <w:sz w:val="14"/>
              </w:rPr>
              <w:t>Original funded principal of the loan</w:t>
            </w:r>
          </w:p>
        </w:tc>
        <w:tc>
          <w:tcPr>
            <w:tcW w:w="5256" w:type="dxa"/>
            <w:vAlign w:val="center"/>
            <w:tcMar>
              <w:top w:w="35" w:type="dxa"/>
              <w:start w:w="35" w:type="dxa"/>
              <w:bottom w:w="35" w:type="dxa"/>
              <w:end w:w="35" w:type="dxa"/>
            </w:tcMar>
          </w:tcPr>
          <w:p w14:paraId="31B0EFCC" w14:textId="77777777" w:rsidR="00BA041F" w:rsidRDefault="00000000">
            <w:pPr>
              <w:pStyle w:val="TableBodyAcademic"/>
              <w:spacing w:before="0" w:after="0" w:line="240" w:lineRule="auto"/>
              <w:jc w:val="right"/>
            </w:pPr>
            <w:r>
              <w:rPr>
                <w:sz w:val="14"/>
              </w:rPr>
              <w:t>Base exposure reference for resolved loans and the starting point for all EAD calculations</w:t>
            </w:r>
          </w:p>
        </w:tc>
      </w:tr>
      <w:tr w:rsidR="00BA041F" w14:paraId="2D9BF0BF" w14:textId="77777777">
        <w:trPr>
          <w:jc w:val="center"/>
          <w:cantSplit/>
        </w:trPr>
        <w:tc>
          <w:tcPr>
            <w:tcW w:w="1512" w:type="dxa"/>
            <w:vAlign w:val="center"/>
            <w:tcMar>
              <w:top w:w="35" w:type="dxa"/>
              <w:start w:w="35" w:type="dxa"/>
              <w:bottom w:w="35" w:type="dxa"/>
              <w:end w:w="35" w:type="dxa"/>
            </w:tcMar>
          </w:tcPr>
          <w:p w14:paraId="5DA5AB13" w14:textId="77777777" w:rsidR="00BA041F" w:rsidRDefault="00000000">
            <w:pPr>
              <w:pStyle w:val="TableBodyAcademic"/>
              <w:spacing w:before="0" w:after="0" w:line="240" w:lineRule="auto"/>
              <w:jc w:val="left"/>
            </w:pPr>
            <w:r>
              <w:rPr>
                <w:sz w:val="14"/>
              </w:rPr>
              <w:t>Cumulative principal recovered</w:t>
            </w:r>
          </w:p>
        </w:tc>
        <w:tc>
          <w:tcPr>
            <w:tcW w:w="2232" w:type="dxa"/>
            <w:vAlign w:val="center"/>
            <w:tcMar>
              <w:top w:w="35" w:type="dxa"/>
              <w:start w:w="35" w:type="dxa"/>
              <w:bottom w:w="35" w:type="dxa"/>
              <w:end w:w="35" w:type="dxa"/>
            </w:tcMar>
          </w:tcPr>
          <w:p w14:paraId="37A0D770" w14:textId="77777777" w:rsidR="00BA041F" w:rsidRDefault="00000000">
            <w:pPr>
              <w:pStyle w:val="TableBodyAcademic"/>
              <w:spacing w:before="0" w:after="0" w:line="240" w:lineRule="auto"/>
              <w:jc w:val="right"/>
            </w:pPr>
            <w:r>
              <w:rPr>
                <w:sz w:val="14"/>
              </w:rPr>
              <w:t>Cumulative principal recovered before charge-off or resolution</w:t>
            </w:r>
          </w:p>
        </w:tc>
        <w:tc>
          <w:tcPr>
            <w:tcW w:w="5256" w:type="dxa"/>
            <w:vAlign w:val="center"/>
            <w:tcMar>
              <w:top w:w="35" w:type="dxa"/>
              <w:start w:w="35" w:type="dxa"/>
              <w:bottom w:w="35" w:type="dxa"/>
              <w:end w:w="35" w:type="dxa"/>
            </w:tcMar>
          </w:tcPr>
          <w:p w14:paraId="3075ADDE" w14:textId="77777777" w:rsidR="00BA041F" w:rsidRDefault="00000000">
            <w:pPr>
              <w:pStyle w:val="TableBodyAcademic"/>
              <w:spacing w:before="0" w:after="0" w:line="240" w:lineRule="auto"/>
              <w:jc w:val="right"/>
            </w:pPr>
            <w:r>
              <w:rPr>
                <w:sz w:val="14"/>
              </w:rPr>
              <w:t>Subtracted from original funded principal to infer unpaid principal exposure</w:t>
            </w:r>
          </w:p>
        </w:tc>
      </w:tr>
      <w:tr w:rsidR="00BA041F" w14:paraId="2ED0EF8A" w14:textId="77777777">
        <w:trPr>
          <w:jc w:val="center"/>
          <w:cantSplit/>
        </w:trPr>
        <w:tc>
          <w:tcPr>
            <w:tcW w:w="1512" w:type="dxa"/>
            <w:vAlign w:val="center"/>
            <w:tcMar>
              <w:top w:w="35" w:type="dxa"/>
              <w:start w:w="35" w:type="dxa"/>
              <w:bottom w:w="35" w:type="dxa"/>
              <w:end w:w="35" w:type="dxa"/>
            </w:tcMar>
          </w:tcPr>
          <w:p w14:paraId="526F93B8" w14:textId="77777777" w:rsidR="00BA041F" w:rsidRDefault="00000000">
            <w:pPr>
              <w:pStyle w:val="TableBodyAcademic"/>
              <w:spacing w:before="0" w:after="0" w:line="240" w:lineRule="auto"/>
              <w:jc w:val="left"/>
            </w:pPr>
            <w:r>
              <w:rPr>
                <w:sz w:val="14"/>
              </w:rPr>
              <w:t>Gross recoveries</w:t>
            </w:r>
          </w:p>
        </w:tc>
        <w:tc>
          <w:tcPr>
            <w:tcW w:w="2232" w:type="dxa"/>
            <w:vAlign w:val="center"/>
            <w:tcMar>
              <w:top w:w="35" w:type="dxa"/>
              <w:start w:w="35" w:type="dxa"/>
              <w:bottom w:w="35" w:type="dxa"/>
              <w:end w:w="35" w:type="dxa"/>
            </w:tcMar>
          </w:tcPr>
          <w:p w14:paraId="1D82ECDC" w14:textId="77777777" w:rsidR="00BA041F" w:rsidRDefault="00000000">
            <w:pPr>
              <w:pStyle w:val="TableBodyAcademic"/>
              <w:spacing w:before="0" w:after="0" w:line="240" w:lineRule="auto"/>
              <w:jc w:val="right"/>
            </w:pPr>
            <w:r>
              <w:rPr>
                <w:sz w:val="14"/>
              </w:rPr>
              <w:t>Gross post-default recovery cash flow</w:t>
            </w:r>
          </w:p>
        </w:tc>
        <w:tc>
          <w:tcPr>
            <w:tcW w:w="5256" w:type="dxa"/>
            <w:vAlign w:val="center"/>
            <w:tcMar>
              <w:top w:w="35" w:type="dxa"/>
              <w:start w:w="35" w:type="dxa"/>
              <w:bottom w:w="35" w:type="dxa"/>
              <w:end w:w="35" w:type="dxa"/>
            </w:tcMar>
          </w:tcPr>
          <w:p w14:paraId="42C586CB" w14:textId="77777777" w:rsidR="00BA041F" w:rsidRDefault="00000000">
            <w:pPr>
              <w:pStyle w:val="TableBodyAcademic"/>
              <w:spacing w:before="0" w:after="0" w:line="240" w:lineRule="auto"/>
              <w:jc w:val="right"/>
            </w:pPr>
            <w:r>
              <w:rPr>
                <w:sz w:val="14"/>
              </w:rPr>
              <w:t>Used to compute realized recovery on charged-off loans</w:t>
            </w:r>
          </w:p>
        </w:tc>
      </w:tr>
      <w:tr w:rsidR="00BA041F" w14:paraId="52BF183B" w14:textId="77777777">
        <w:trPr>
          <w:jc w:val="center"/>
          <w:cantSplit/>
        </w:trPr>
        <w:tc>
          <w:tcPr>
            <w:tcW w:w="1512" w:type="dxa"/>
            <w:vAlign w:val="center"/>
            <w:tcMar>
              <w:top w:w="35" w:type="dxa"/>
              <w:start w:w="35" w:type="dxa"/>
              <w:bottom w:w="35" w:type="dxa"/>
              <w:end w:w="35" w:type="dxa"/>
            </w:tcMar>
          </w:tcPr>
          <w:p w14:paraId="20825A26" w14:textId="77777777" w:rsidR="00BA041F" w:rsidRDefault="00000000">
            <w:pPr>
              <w:pStyle w:val="TableBodyAcademic"/>
              <w:spacing w:before="0" w:after="0" w:line="240" w:lineRule="auto"/>
              <w:jc w:val="left"/>
            </w:pPr>
            <w:r>
              <w:rPr>
                <w:sz w:val="14"/>
              </w:rPr>
              <w:t>Collection recovery fee</w:t>
            </w:r>
          </w:p>
        </w:tc>
        <w:tc>
          <w:tcPr>
            <w:tcW w:w="2232" w:type="dxa"/>
            <w:vAlign w:val="center"/>
            <w:tcMar>
              <w:top w:w="35" w:type="dxa"/>
              <w:start w:w="35" w:type="dxa"/>
              <w:bottom w:w="35" w:type="dxa"/>
              <w:end w:w="35" w:type="dxa"/>
            </w:tcMar>
          </w:tcPr>
          <w:p w14:paraId="43C9358D" w14:textId="77777777" w:rsidR="00BA041F" w:rsidRDefault="00000000">
            <w:pPr>
              <w:pStyle w:val="TableBodyAcademic"/>
              <w:spacing w:before="0" w:after="0" w:line="240" w:lineRule="auto"/>
              <w:jc w:val="right"/>
            </w:pPr>
            <w:r>
              <w:rPr>
                <w:sz w:val="14"/>
              </w:rPr>
              <w:t>Recovery-related collection cost</w:t>
            </w:r>
          </w:p>
        </w:tc>
        <w:tc>
          <w:tcPr>
            <w:tcW w:w="5256" w:type="dxa"/>
            <w:vAlign w:val="center"/>
            <w:tcMar>
              <w:top w:w="35" w:type="dxa"/>
              <w:start w:w="35" w:type="dxa"/>
              <w:bottom w:w="35" w:type="dxa"/>
              <w:end w:w="35" w:type="dxa"/>
            </w:tcMar>
          </w:tcPr>
          <w:p w14:paraId="19184295" w14:textId="77777777" w:rsidR="00BA041F" w:rsidRDefault="00000000">
            <w:pPr>
              <w:pStyle w:val="TableBodyAcademic"/>
              <w:spacing w:before="0" w:after="0" w:line="240" w:lineRule="auto"/>
              <w:jc w:val="right"/>
            </w:pPr>
            <w:r>
              <w:rPr>
                <w:sz w:val="14"/>
              </w:rPr>
              <w:t>Netted from recoveries to avoid overstating workout proceeds</w:t>
            </w:r>
          </w:p>
        </w:tc>
      </w:tr>
      <w:tr w:rsidR="00BA041F" w14:paraId="62880CAD" w14:textId="77777777">
        <w:trPr>
          <w:jc w:val="center"/>
          <w:cantSplit/>
        </w:trPr>
        <w:tc>
          <w:tcPr>
            <w:tcW w:w="1512" w:type="dxa"/>
            <w:vAlign w:val="center"/>
            <w:tcMar>
              <w:top w:w="35" w:type="dxa"/>
              <w:start w:w="35" w:type="dxa"/>
              <w:bottom w:w="35" w:type="dxa"/>
              <w:end w:w="35" w:type="dxa"/>
            </w:tcMar>
          </w:tcPr>
          <w:p w14:paraId="081181EE" w14:textId="77777777" w:rsidR="00BA041F" w:rsidRDefault="00000000">
            <w:pPr>
              <w:pStyle w:val="TableBodyAcademic"/>
              <w:spacing w:before="0" w:after="0" w:line="240" w:lineRule="auto"/>
              <w:jc w:val="left"/>
            </w:pPr>
            <w:r>
              <w:rPr>
                <w:sz w:val="14"/>
              </w:rPr>
              <w:t>Outstanding principal</w:t>
            </w:r>
          </w:p>
        </w:tc>
        <w:tc>
          <w:tcPr>
            <w:tcW w:w="2232" w:type="dxa"/>
            <w:vAlign w:val="center"/>
            <w:tcMar>
              <w:top w:w="35" w:type="dxa"/>
              <w:start w:w="35" w:type="dxa"/>
              <w:bottom w:w="35" w:type="dxa"/>
              <w:end w:w="35" w:type="dxa"/>
            </w:tcMar>
          </w:tcPr>
          <w:p w14:paraId="22B2298E" w14:textId="77777777" w:rsidR="00BA041F" w:rsidRDefault="00000000">
            <w:pPr>
              <w:pStyle w:val="TableBodyAcademic"/>
              <w:spacing w:before="0" w:after="0" w:line="240" w:lineRule="auto"/>
              <w:jc w:val="right"/>
            </w:pPr>
            <w:r>
              <w:rPr>
                <w:sz w:val="14"/>
              </w:rPr>
              <w:t>Observed outstanding principal for active loans</w:t>
            </w:r>
          </w:p>
        </w:tc>
        <w:tc>
          <w:tcPr>
            <w:tcW w:w="5256" w:type="dxa"/>
            <w:vAlign w:val="center"/>
            <w:tcMar>
              <w:top w:w="35" w:type="dxa"/>
              <w:start w:w="35" w:type="dxa"/>
              <w:bottom w:w="35" w:type="dxa"/>
              <w:end w:w="35" w:type="dxa"/>
            </w:tcMar>
          </w:tcPr>
          <w:p w14:paraId="27F0F8DD" w14:textId="77777777" w:rsidR="00BA041F" w:rsidRDefault="00000000">
            <w:pPr>
              <w:pStyle w:val="TableBodyAcademic"/>
              <w:spacing w:before="0" w:after="0" w:line="240" w:lineRule="auto"/>
              <w:jc w:val="right"/>
            </w:pPr>
            <w:r>
              <w:rPr>
                <w:sz w:val="14"/>
              </w:rPr>
              <w:t>Primary current-exposure measure for reserve analytics</w:t>
            </w:r>
          </w:p>
        </w:tc>
      </w:tr>
      <w:tr w:rsidR="00BA041F" w14:paraId="32FFA5DA" w14:textId="77777777">
        <w:trPr>
          <w:jc w:val="center"/>
          <w:cantSplit/>
        </w:trPr>
        <w:tc>
          <w:tcPr>
            <w:tcW w:w="1512" w:type="dxa"/>
            <w:vAlign w:val="center"/>
            <w:tcMar>
              <w:top w:w="35" w:type="dxa"/>
              <w:start w:w="35" w:type="dxa"/>
              <w:bottom w:w="35" w:type="dxa"/>
              <w:end w:w="35" w:type="dxa"/>
            </w:tcMar>
          </w:tcPr>
          <w:p w14:paraId="185B3340" w14:textId="77777777" w:rsidR="00BA041F" w:rsidRDefault="00000000">
            <w:pPr>
              <w:pStyle w:val="TableBodyAcademic"/>
              <w:spacing w:before="0" w:after="0" w:line="240" w:lineRule="auto"/>
              <w:jc w:val="left"/>
            </w:pPr>
            <w:r>
              <w:rPr>
                <w:sz w:val="14"/>
              </w:rPr>
              <w:t>Loan term (months)</w:t>
            </w:r>
          </w:p>
        </w:tc>
        <w:tc>
          <w:tcPr>
            <w:tcW w:w="2232" w:type="dxa"/>
            <w:vAlign w:val="center"/>
            <w:tcMar>
              <w:top w:w="35" w:type="dxa"/>
              <w:start w:w="35" w:type="dxa"/>
              <w:bottom w:w="35" w:type="dxa"/>
              <w:end w:w="35" w:type="dxa"/>
            </w:tcMar>
          </w:tcPr>
          <w:p w14:paraId="7DC9CF06" w14:textId="77777777" w:rsidR="00BA041F" w:rsidRDefault="00000000">
            <w:pPr>
              <w:pStyle w:val="TableBodyAcademic"/>
              <w:spacing w:before="0" w:after="0" w:line="240" w:lineRule="auto"/>
              <w:jc w:val="right"/>
            </w:pPr>
            <w:r>
              <w:rPr>
                <w:sz w:val="14"/>
              </w:rPr>
              <w:t>Contractual maturity in months</w:t>
            </w:r>
          </w:p>
        </w:tc>
        <w:tc>
          <w:tcPr>
            <w:tcW w:w="5256" w:type="dxa"/>
            <w:vAlign w:val="center"/>
            <w:tcMar>
              <w:top w:w="35" w:type="dxa"/>
              <w:start w:w="35" w:type="dxa"/>
              <w:bottom w:w="35" w:type="dxa"/>
              <w:end w:w="35" w:type="dxa"/>
            </w:tcMar>
          </w:tcPr>
          <w:p w14:paraId="421822E6" w14:textId="77777777" w:rsidR="00BA041F" w:rsidRDefault="00000000">
            <w:pPr>
              <w:pStyle w:val="TableBodyAcademic"/>
              <w:spacing w:before="0" w:after="0" w:line="240" w:lineRule="auto"/>
              <w:jc w:val="right"/>
            </w:pPr>
            <w:r>
              <w:rPr>
                <w:sz w:val="14"/>
              </w:rPr>
              <w:t>Defines amortization horizon and remaining term</w:t>
            </w:r>
          </w:p>
        </w:tc>
      </w:tr>
      <w:tr w:rsidR="00BA041F" w14:paraId="4DA69DD9" w14:textId="77777777">
        <w:trPr>
          <w:jc w:val="center"/>
          <w:cantSplit/>
        </w:trPr>
        <w:tc>
          <w:tcPr>
            <w:tcW w:w="1512" w:type="dxa"/>
            <w:vAlign w:val="center"/>
            <w:tcMar>
              <w:top w:w="35" w:type="dxa"/>
              <w:start w:w="35" w:type="dxa"/>
              <w:bottom w:w="35" w:type="dxa"/>
              <w:end w:w="35" w:type="dxa"/>
            </w:tcMar>
          </w:tcPr>
          <w:p w14:paraId="148A5CF0" w14:textId="77777777" w:rsidR="00BA041F" w:rsidRDefault="00000000">
            <w:pPr>
              <w:pStyle w:val="TableBodyAcademic"/>
              <w:spacing w:before="0" w:after="0" w:line="240" w:lineRule="auto"/>
              <w:jc w:val="left"/>
            </w:pPr>
            <w:r>
              <w:rPr>
                <w:sz w:val="14"/>
              </w:rPr>
              <w:t>Months on book</w:t>
            </w:r>
          </w:p>
        </w:tc>
        <w:tc>
          <w:tcPr>
            <w:tcW w:w="2232" w:type="dxa"/>
            <w:vAlign w:val="center"/>
            <w:tcMar>
              <w:top w:w="35" w:type="dxa"/>
              <w:start w:w="35" w:type="dxa"/>
              <w:bottom w:w="35" w:type="dxa"/>
              <w:end w:w="35" w:type="dxa"/>
            </w:tcMar>
          </w:tcPr>
          <w:p w14:paraId="1B1C1445" w14:textId="77777777" w:rsidR="00BA041F" w:rsidRDefault="00000000">
            <w:pPr>
              <w:pStyle w:val="TableBodyAcademic"/>
              <w:spacing w:before="0" w:after="0" w:line="240" w:lineRule="auto"/>
              <w:jc w:val="right"/>
            </w:pPr>
            <w:r>
              <w:rPr>
                <w:sz w:val="14"/>
              </w:rPr>
              <w:t xml:space="preserve">Elapsed months from origination </w:t>
            </w:r>
            <w:r>
              <w:rPr>
                <w:sz w:val="14"/>
              </w:rPr>
              <w:lastRenderedPageBreak/>
              <w:t>to last observed payment month, capped at term</w:t>
            </w:r>
          </w:p>
        </w:tc>
        <w:tc>
          <w:tcPr>
            <w:tcW w:w="5256" w:type="dxa"/>
            <w:vAlign w:val="center"/>
            <w:tcMar>
              <w:top w:w="35" w:type="dxa"/>
              <w:start w:w="35" w:type="dxa"/>
              <w:bottom w:w="35" w:type="dxa"/>
              <w:end w:w="35" w:type="dxa"/>
            </w:tcMar>
          </w:tcPr>
          <w:p w14:paraId="1F424D92" w14:textId="77777777" w:rsidR="00BA041F" w:rsidRDefault="00000000">
            <w:pPr>
              <w:pStyle w:val="TableBodyAcademic"/>
              <w:spacing w:before="0" w:after="0" w:line="240" w:lineRule="auto"/>
              <w:jc w:val="right"/>
            </w:pPr>
            <w:r>
              <w:rPr>
                <w:sz w:val="14"/>
              </w:rPr>
              <w:lastRenderedPageBreak/>
              <w:t xml:space="preserve">Inputs the scheduled-balance fallback and seasoning </w:t>
            </w:r>
            <w:r>
              <w:rPr>
                <w:sz w:val="14"/>
              </w:rPr>
              <w:lastRenderedPageBreak/>
              <w:t>logic</w:t>
            </w:r>
          </w:p>
        </w:tc>
      </w:tr>
      <w:tr w:rsidR="00BA041F" w14:paraId="7FB559E7" w14:textId="77777777">
        <w:trPr>
          <w:jc w:val="center"/>
          <w:cantSplit/>
        </w:trPr>
        <w:tc>
          <w:tcPr>
            <w:tcW w:w="1512" w:type="dxa"/>
            <w:vAlign w:val="center"/>
            <w:tcMar>
              <w:top w:w="35" w:type="dxa"/>
              <w:start w:w="35" w:type="dxa"/>
              <w:bottom w:w="35" w:type="dxa"/>
              <w:end w:w="35" w:type="dxa"/>
            </w:tcMar>
          </w:tcPr>
          <w:p w14:paraId="0C02766F" w14:textId="77777777" w:rsidR="00BA041F" w:rsidRDefault="00000000">
            <w:pPr>
              <w:pStyle w:val="TableBodyAcademic"/>
              <w:spacing w:before="0" w:after="0" w:line="240" w:lineRule="auto"/>
              <w:jc w:val="left"/>
            </w:pPr>
            <w:r>
              <w:rPr>
                <w:sz w:val="14"/>
              </w:rPr>
              <w:t>Origination year</w:t>
            </w:r>
          </w:p>
        </w:tc>
        <w:tc>
          <w:tcPr>
            <w:tcW w:w="2232" w:type="dxa"/>
            <w:vAlign w:val="center"/>
            <w:tcMar>
              <w:top w:w="35" w:type="dxa"/>
              <w:start w:w="35" w:type="dxa"/>
              <w:bottom w:w="35" w:type="dxa"/>
              <w:end w:w="35" w:type="dxa"/>
            </w:tcMar>
          </w:tcPr>
          <w:p w14:paraId="558649AE" w14:textId="77777777" w:rsidR="00BA041F" w:rsidRDefault="00000000">
            <w:pPr>
              <w:pStyle w:val="TableBodyAcademic"/>
              <w:spacing w:before="0" w:after="0" w:line="240" w:lineRule="auto"/>
              <w:jc w:val="right"/>
            </w:pPr>
            <w:r>
              <w:rPr>
                <w:sz w:val="14"/>
              </w:rPr>
              <w:t>Origination calendar year</w:t>
            </w:r>
          </w:p>
        </w:tc>
        <w:tc>
          <w:tcPr>
            <w:tcW w:w="5256" w:type="dxa"/>
            <w:vAlign w:val="center"/>
            <w:tcMar>
              <w:top w:w="35" w:type="dxa"/>
              <w:start w:w="35" w:type="dxa"/>
              <w:bottom w:w="35" w:type="dxa"/>
              <w:end w:w="35" w:type="dxa"/>
            </w:tcMar>
          </w:tcPr>
          <w:p w14:paraId="1BC56B62" w14:textId="77777777" w:rsidR="00BA041F" w:rsidRDefault="00000000">
            <w:pPr>
              <w:pStyle w:val="TableBodyAcademic"/>
              <w:spacing w:before="0" w:after="0" w:line="240" w:lineRule="auto"/>
              <w:jc w:val="right"/>
            </w:pPr>
            <w:r>
              <w:rPr>
                <w:sz w:val="14"/>
              </w:rPr>
              <w:t>Enters the exact LGD lookup while preserving temporal segmentation</w:t>
            </w:r>
          </w:p>
        </w:tc>
      </w:tr>
    </w:tbl>
    <w:p w14:paraId="6B46E1CF" w14:textId="77777777" w:rsidR="00BA041F" w:rsidRDefault="00BA041F"/>
    <w:p w14:paraId="1951BBCF" w14:textId="77777777" w:rsidR="00BA041F" w:rsidRDefault="00000000">
      <w:pPr>
        <w:pStyle w:val="Heading2"/>
        <w:jc w:val="left"/>
      </w:pPr>
      <w:r>
        <w:rPr>
          <w:rFonts w:ascii="Times New Roman" w:hAnsi="Times New Roman"/>
        </w:rPr>
        <w:t>4.2 EAD Proxy Design</w:t>
      </w:r>
    </w:p>
    <w:p w14:paraId="6F9EC68B" w14:textId="77777777" w:rsidR="00BA041F" w:rsidRDefault="00000000">
      <w:r>
        <w:t>For charged-off loans, exposure at default is proxied by the portion of funded principal that had not yet been recovered as principal by the time the account entered its terminal charged-off state. This definition is consistent with the economic notion of default exposure in an amortizing installment setting: principal already collected is not at risk, while unrecovered principal remains exposed to loss. For active loans, the framework uses observed outstanding principal whenever that balance is available and resorts to an amortization-based scheduled-balance proxy only as a fallback. The fallback is driven by contractual installment size, annual percentage rate, and months on book, so that current exposure declines with seasoning in the absence of a reported balance.</w:t>
      </w:r>
    </w:p>
    <w:p w14:paraId="3933B43D" w14:textId="77777777" w:rsidR="00BA041F" w:rsidRDefault="00000000">
      <w:pPr>
        <w:ind w:firstLine="0"/>
        <w:jc w:val="center"/>
      </w:pPr>
      <w:r>
        <w:rPr>
          <w:noProof/>
        </w:rPr>
        <w:drawing>
          <wp:inline distT="0" distB="0" distL="0" distR="0" wp14:anchorId="7B2D99CB" wp14:editId="1F71EE85">
            <wp:extent cx="4297680" cy="4655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4_1_ead_proxy.png"/>
                    <pic:cNvPicPr/>
                  </pic:nvPicPr>
                  <pic:blipFill>
                    <a:blip r:embed="rId9"/>
                    <a:stretch>
                      <a:fillRect/>
                    </a:stretch>
                  </pic:blipFill>
                  <pic:spPr>
                    <a:xfrm>
                      <a:off x="0" y="0"/>
                      <a:ext cx="4297680" cy="465582"/>
                    </a:xfrm>
                    <a:prstGeom prst="rect">
                      <a:avLst/>
                    </a:prstGeom>
                  </pic:spPr>
                </pic:pic>
              </a:graphicData>
            </a:graphic>
          </wp:inline>
        </w:drawing>
      </w:r>
    </w:p>
    <w:p w14:paraId="0F9657AA" w14:textId="77777777" w:rsidR="00BA041F" w:rsidRDefault="00000000">
      <w:pPr>
        <w:pStyle w:val="CaptionAcademic"/>
      </w:pPr>
      <w:r>
        <w:t>Equation (4.1). Charged-off exposure proxy.</w:t>
      </w:r>
    </w:p>
    <w:p w14:paraId="15ADBD86" w14:textId="77777777" w:rsidR="00BA041F" w:rsidRDefault="00000000">
      <w:pPr/>
      <w:r>
        <w:t>In the charged-off proxy sample, the mean exposure proxy equals $11.2 thousand, the median equals $9.5 thousand, and the 90th percentile equals $22.5 thousand. These magnitudes confirm that default severity in this portfolio is economically material even after partial principal recovery.</w:t>
      </w:r>
    </w:p>
    <w:p w14:paraId="454C69F6" w14:textId="77777777" w:rsidR="00BA041F" w:rsidRDefault="00000000">
      <w:r>
        <w:t>Figure 4.1 reports the cross-grade distribution of charged-off EAD and provides an empirical diagnostic on how exposure at resolution varies with underwriting grade.</w:t>
      </w:r>
    </w:p>
    <w:p w14:paraId="1F89E99F" w14:textId="77777777" w:rsidR="00BA041F" w:rsidRDefault="00000000">
      <w:pPr>
        <w:ind w:firstLine="0"/>
        <w:jc w:val="center"/>
      </w:pPr>
      <w:r>
        <w:rPr>
          <w:noProof/>
        </w:rPr>
        <w:lastRenderedPageBreak/>
        <w:drawing>
          <wp:inline distT="0" distB="0" distL="0" distR="0" wp14:anchorId="70D81BD6" wp14:editId="2DB0D170">
            <wp:extent cx="5303520" cy="328437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303520" cy="3284376"/>
                    </a:xfrm>
                    <a:prstGeom prst="rect">
                      <a:avLst/>
                    </a:prstGeom>
                  </pic:spPr>
                </pic:pic>
              </a:graphicData>
            </a:graphic>
          </wp:inline>
        </w:drawing>
      </w:r>
    </w:p>
    <w:p w14:paraId="08D437C8" w14:textId="77777777" w:rsidR="00BA041F" w:rsidRDefault="00000000">
      <w:pPr>
        <w:pStyle w:val="CaptionAcademic"/>
      </w:pPr>
      <w:r>
        <w:t>Figure 4.1. Charged-off EAD proxy by credit grade.</w:t>
      </w:r>
    </w:p>
    <w:p w14:paraId="506C9DEA" w14:textId="77777777" w:rsidR="00BA041F" w:rsidRDefault="00000000">
      <w:r>
        <w:t>The boxplot shows a clear upward shift from grade A through grade G in both the central tendency and upper tail of charged-off exposure. This pattern is economically intuitive: weaker-grade borrowers not only default more often, but also tend to default with larger remaining balances. That feature matters downstream because a risk framework that models only PD would understate the contribution of weaker grades to dollar loss.</w:t>
      </w:r>
    </w:p>
    <w:p w14:paraId="71F304EE" w14:textId="77777777" w:rsidR="00BA041F" w:rsidRDefault="00000000">
      <w:pPr>
        <w:pStyle w:val="Heading2"/>
        <w:jc w:val="left"/>
      </w:pPr>
      <w:r>
        <w:rPr>
          <w:rFonts w:ascii="Times New Roman" w:hAnsi="Times New Roman"/>
        </w:rPr>
        <w:t>4.3 LGD Proxy Design and Credibility-Weighted Expectation</w:t>
      </w:r>
    </w:p>
    <w:p w14:paraId="13110005" w14:textId="77777777" w:rsidR="00BA041F" w:rsidRDefault="00000000">
      <w:r>
        <w:t>Loss given default is measured on the charged-off subsample after netting out collection costs from reported recoveries. The empirical LGD proxy is therefore the complement of the net recovery rate on the charged-off exposure proxy. This construction is deliberately parsimonious. It maps directly into the course definition of severity, respects the available accounting fields, and avoids the false precision that would come from imposing unobserved workout assumptions.</w:t>
      </w:r>
    </w:p>
    <w:p w14:paraId="0E3A8654" w14:textId="77777777" w:rsidR="00BA041F" w:rsidRDefault="00000000">
      <w:pPr>
        <w:ind w:firstLine="0"/>
        <w:jc w:val="center"/>
      </w:pPr>
      <w:r>
        <w:rPr>
          <w:noProof/>
        </w:rPr>
        <w:drawing>
          <wp:inline distT="0" distB="0" distL="0" distR="0" wp14:anchorId="735F705B" wp14:editId="2F663584">
            <wp:extent cx="4480560" cy="6876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4_2_lgd_proxy.png"/>
                    <pic:cNvPicPr/>
                  </pic:nvPicPr>
                  <pic:blipFill>
                    <a:blip r:embed="rId11"/>
                    <a:stretch>
                      <a:fillRect/>
                    </a:stretch>
                  </pic:blipFill>
                  <pic:spPr>
                    <a:xfrm>
                      <a:off x="0" y="0"/>
                      <a:ext cx="4480560" cy="687694"/>
                    </a:xfrm>
                    <a:prstGeom prst="rect">
                      <a:avLst/>
                    </a:prstGeom>
                  </pic:spPr>
                </pic:pic>
              </a:graphicData>
            </a:graphic>
          </wp:inline>
        </w:drawing>
      </w:r>
    </w:p>
    <w:p w14:paraId="763FF511" w14:textId="77777777" w:rsidR="00BA041F" w:rsidRDefault="00000000">
      <w:pPr>
        <w:pStyle w:val="CaptionAcademic"/>
      </w:pPr>
      <w:r>
        <w:t>Equation (4.2). Realized loss-given-default proxy on charged-off observations.</w:t>
      </w:r>
    </w:p>
    <w:p w14:paraId="0EA981FE" w14:textId="77777777" w:rsidR="00BA041F" w:rsidRDefault="00000000">
      <w:r>
        <w:lastRenderedPageBreak/>
        <w:t>Expected LGD is then estimated through a credibility-weighted lookup rather than a fully parametric severity model. The exact segment key is grade by loan term by origination year, and each cell mean is shrunk toward the portfolio mean using a weight of n divided by n plus 50. The lookup is fit on 220,529 charged-off observations from the train and validation vintages, and the portfolio fallback LGD equals 90.14%. This design stabilizes sparse cells while keeping the estimator interpretable to a credit-risk audience.</w:t>
      </w:r>
    </w:p>
    <w:p w14:paraId="17ECA7A5" w14:textId="77777777" w:rsidR="00BA041F" w:rsidRDefault="00000000">
      <w:pPr>
        <w:ind w:firstLine="0"/>
        <w:jc w:val="center"/>
      </w:pPr>
      <w:r>
        <w:rPr>
          <w:noProof/>
        </w:rPr>
        <w:drawing>
          <wp:inline distT="0" distB="0" distL="0" distR="0" wp14:anchorId="7F1FD65A" wp14:editId="036F2CE4">
            <wp:extent cx="4389120" cy="10042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4_3_expected_lgd.png"/>
                    <pic:cNvPicPr/>
                  </pic:nvPicPr>
                  <pic:blipFill>
                    <a:blip r:embed="rId12"/>
                    <a:stretch>
                      <a:fillRect/>
                    </a:stretch>
                  </pic:blipFill>
                  <pic:spPr>
                    <a:xfrm>
                      <a:off x="0" y="0"/>
                      <a:ext cx="4389120" cy="1004290"/>
                    </a:xfrm>
                    <a:prstGeom prst="rect">
                      <a:avLst/>
                    </a:prstGeom>
                  </pic:spPr>
                </pic:pic>
              </a:graphicData>
            </a:graphic>
          </wp:inline>
        </w:drawing>
      </w:r>
    </w:p>
    <w:p w14:paraId="6CE82B85" w14:textId="77777777" w:rsidR="00BA041F" w:rsidRDefault="00000000">
      <w:pPr>
        <w:pStyle w:val="CaptionAcademic"/>
      </w:pPr>
      <w:r>
        <w:t>Equation (4.3). Credibility-weighted expected loss-given-default lookup.</w:t>
      </w:r>
    </w:p>
    <w:p w14:paraId="21DA9191" w14:textId="77777777" w:rsidR="00BA041F" w:rsidRDefault="00000000">
      <w:pPr>
        <w:pStyle w:val="CaptionAcademic"/>
      </w:pPr>
      <w:r>
        <w:t>Table 4.2. Usage of the loss-given-default lookup by analytical scope.</w:t>
      </w:r>
    </w:p>
    <w:tbl>
      <w:tblPr>
        <w:tblStyle w:val="TableGrid"/>
        <w:tblW w:w="0" w:type="auto"/>
        <w:jc w:val="center"/>
        <w:tblLayout w:type="fixed"/>
        <w:tblLook w:val="04A0" w:firstRow="1" w:lastRow="0" w:firstColumn="1" w:lastColumn="0" w:noHBand="0" w:noVBand="1"/>
      </w:tblPr>
      <w:tblGrid>
        <w:gridCol w:w="2880"/>
        <w:gridCol w:w="2880"/>
        <w:gridCol w:w="2304"/>
      </w:tblGrid>
      <w:tr w:rsidR="00BA041F" w14:paraId="070C196A" w14:textId="77777777">
        <w:trPr>
          <w:jc w:val="center"/>
          <w:cantSplit/>
        </w:trPr>
        <w:tc>
          <w:tcPr>
            <w:tcW w:w="1512" w:type="dxa"/>
            <w:shd w:val="clear" w:color="auto" w:fill="E6E6E6"/>
            <w:vAlign w:val="center"/>
            <w:tcMar>
              <w:top w:w="35" w:type="dxa"/>
              <w:start w:w="35" w:type="dxa"/>
              <w:bottom w:w="35" w:type="dxa"/>
              <w:end w:w="35" w:type="dxa"/>
            </w:tcMar>
          </w:tcPr>
          <w:p w14:paraId="590F3214" w14:textId="77777777" w:rsidR="00BA041F" w:rsidRDefault="00000000">
            <w:pPr>
              <w:pStyle w:val="TableBodyAcademic"/>
              <w:spacing w:before="0" w:after="0" w:line="240" w:lineRule="auto"/>
              <w:jc w:val="left"/>
            </w:pPr>
            <w:r>
              <w:rPr>
                <w:b/>
                <w:sz w:val="16"/>
              </w:rPr>
              <w:t>Scope</w:t>
            </w:r>
          </w:p>
        </w:tc>
        <w:tc>
          <w:tcPr>
            <w:tcW w:w="2520" w:type="dxa"/>
            <w:shd w:val="clear" w:color="auto" w:fill="E6E6E6"/>
            <w:vAlign w:val="center"/>
            <w:tcMar>
              <w:top w:w="35" w:type="dxa"/>
              <w:start w:w="35" w:type="dxa"/>
              <w:bottom w:w="35" w:type="dxa"/>
              <w:end w:w="35" w:type="dxa"/>
            </w:tcMar>
          </w:tcPr>
          <w:p w14:paraId="37011144" w14:textId="77777777" w:rsidR="00BA041F" w:rsidRDefault="00000000">
            <w:pPr>
              <w:pStyle w:val="TableBodyAcademic"/>
              <w:spacing w:before="0" w:after="0" w:line="240" w:lineRule="auto"/>
              <w:jc w:val="left"/>
            </w:pPr>
            <w:r>
              <w:rPr>
                <w:b/>
                <w:sz w:val="16"/>
              </w:rPr>
              <w:t>Loss-given-default source</w:t>
            </w:r>
          </w:p>
        </w:tc>
        <w:tc>
          <w:tcPr>
            <w:tcW w:w="1440" w:type="dxa"/>
            <w:shd w:val="clear" w:color="auto" w:fill="E6E6E6"/>
            <w:vAlign w:val="center"/>
            <w:tcMar>
              <w:top w:w="35" w:type="dxa"/>
              <w:start w:w="35" w:type="dxa"/>
              <w:bottom w:w="35" w:type="dxa"/>
              <w:end w:w="35" w:type="dxa"/>
            </w:tcMar>
          </w:tcPr>
          <w:p w14:paraId="3F003C0A" w14:textId="77777777" w:rsidR="00BA041F" w:rsidRDefault="00000000">
            <w:pPr>
              <w:pStyle w:val="TableBodyAcademic"/>
              <w:spacing w:before="0" w:after="0" w:line="240" w:lineRule="auto"/>
              <w:jc w:val="left"/>
            </w:pPr>
            <w:r>
              <w:rPr>
                <w:b/>
                <w:sz w:val="16"/>
              </w:rPr>
              <w:t>Loan count</w:t>
            </w:r>
          </w:p>
        </w:tc>
      </w:tr>
      <w:tr w:rsidR="00BA041F" w14:paraId="5CCB2313" w14:textId="77777777">
        <w:trPr>
          <w:jc w:val="center"/>
          <w:cantSplit/>
        </w:trPr>
        <w:tc>
          <w:tcPr>
            <w:tcW w:w="1512" w:type="dxa"/>
            <w:vAlign w:val="center"/>
            <w:tcMar>
              <w:top w:w="35" w:type="dxa"/>
              <w:start w:w="35" w:type="dxa"/>
              <w:bottom w:w="35" w:type="dxa"/>
              <w:end w:w="35" w:type="dxa"/>
            </w:tcMar>
          </w:tcPr>
          <w:p>
            <w:pPr>
              <w:spacing w:before="0" w:after="0" w:line="240" w:lineRule="auto"/>
              <w:jc w:val="left"/>
            </w:pPr>
            <w:r>
              <w:rPr>
                <w:sz w:val="16"/>
              </w:rPr>
              <w:t>Active snapshot</w:t>
            </w:r>
          </w:p>
        </w:tc>
        <w:tc>
          <w:tcPr>
            <w:tcW w:w="2520" w:type="dxa"/>
            <w:vAlign w:val="center"/>
            <w:tcMar>
              <w:top w:w="35" w:type="dxa"/>
              <w:start w:w="35" w:type="dxa"/>
              <w:bottom w:w="35" w:type="dxa"/>
              <w:end w:w="35" w:type="dxa"/>
            </w:tcMar>
          </w:tcPr>
          <w:p>
            <w:pPr>
              <w:spacing w:before="0" w:after="0" w:line="240" w:lineRule="auto"/>
              <w:jc w:val="right"/>
            </w:pPr>
            <w:r>
              <w:rPr>
                <w:sz w:val="16"/>
              </w:rPr>
              <w:t>Exact segment</w:t>
            </w:r>
          </w:p>
        </w:tc>
        <w:tc>
          <w:tcPr>
            <w:tcW w:w="1440" w:type="dxa"/>
            <w:vAlign w:val="center"/>
            <w:tcMar>
              <w:top w:w="35" w:type="dxa"/>
              <w:start w:w="35" w:type="dxa"/>
              <w:bottom w:w="35" w:type="dxa"/>
              <w:end w:w="35" w:type="dxa"/>
            </w:tcMar>
          </w:tcPr>
          <w:p>
            <w:pPr>
              <w:spacing w:before="0" w:after="0" w:line="240" w:lineRule="auto"/>
              <w:jc w:val="right"/>
            </w:pPr>
            <w:r>
              <w:rPr>
                <w:sz w:val="16"/>
              </w:rPr>
              <w:t>199,399</w:t>
            </w:r>
          </w:p>
        </w:tc>
      </w:tr>
      <w:tr w:rsidR="00BA041F" w14:paraId="77F0E812" w14:textId="77777777">
        <w:trPr>
          <w:jc w:val="center"/>
          <w:cantSplit/>
        </w:trPr>
        <w:tc>
          <w:tcPr>
            <w:tcW w:w="1512" w:type="dxa"/>
            <w:vAlign w:val="center"/>
            <w:tcMar>
              <w:top w:w="35" w:type="dxa"/>
              <w:start w:w="35" w:type="dxa"/>
              <w:bottom w:w="35" w:type="dxa"/>
              <w:end w:w="35" w:type="dxa"/>
            </w:tcMar>
          </w:tcPr>
          <w:p>
            <w:pPr>
              <w:spacing w:before="0" w:after="0" w:line="240" w:lineRule="auto"/>
              <w:jc w:val="left"/>
            </w:pPr>
            <w:r>
              <w:rPr>
                <w:sz w:val="16"/>
              </w:rPr>
              <w:t>Active snapshot</w:t>
            </w:r>
          </w:p>
        </w:tc>
        <w:tc>
          <w:tcPr>
            <w:tcW w:w="2520" w:type="dxa"/>
            <w:vAlign w:val="center"/>
            <w:tcMar>
              <w:top w:w="35" w:type="dxa"/>
              <w:start w:w="35" w:type="dxa"/>
              <w:bottom w:w="35" w:type="dxa"/>
              <w:end w:w="35" w:type="dxa"/>
            </w:tcMar>
          </w:tcPr>
          <w:p>
            <w:pPr>
              <w:spacing w:before="0" w:after="0" w:line="240" w:lineRule="auto"/>
              <w:jc w:val="right"/>
            </w:pPr>
            <w:r>
              <w:rPr>
                <w:sz w:val="16"/>
              </w:rPr>
              <w:t>Grade-term fallback</w:t>
            </w:r>
          </w:p>
        </w:tc>
        <w:tc>
          <w:tcPr>
            <w:tcW w:w="1440" w:type="dxa"/>
            <w:vAlign w:val="center"/>
            <w:tcMar>
              <w:top w:w="35" w:type="dxa"/>
              <w:start w:w="35" w:type="dxa"/>
              <w:bottom w:w="35" w:type="dxa"/>
              <w:end w:w="35" w:type="dxa"/>
            </w:tcMar>
          </w:tcPr>
          <w:p>
            <w:pPr>
              <w:spacing w:before="0" w:after="0" w:line="240" w:lineRule="auto"/>
              <w:jc w:val="right"/>
            </w:pPr>
            <w:r>
              <w:rPr>
                <w:sz w:val="16"/>
              </w:rPr>
              <w:t>713,210</w:t>
            </w:r>
          </w:p>
        </w:tc>
      </w:tr>
      <w:tr w:rsidR="00BA041F" w14:paraId="1381F34C" w14:textId="77777777">
        <w:trPr>
          <w:jc w:val="center"/>
          <w:cantSplit/>
        </w:trPr>
        <w:tc>
          <w:tcPr>
            <w:tcW w:w="1512" w:type="dxa"/>
            <w:vAlign w:val="center"/>
            <w:tcMar>
              <w:top w:w="35" w:type="dxa"/>
              <w:start w:w="35" w:type="dxa"/>
              <w:bottom w:w="35" w:type="dxa"/>
              <w:end w:w="35" w:type="dxa"/>
            </w:tcMar>
          </w:tcPr>
          <w:p>
            <w:pPr>
              <w:spacing w:before="0" w:after="0" w:line="240" w:lineRule="auto"/>
              <w:jc w:val="left"/>
            </w:pPr>
            <w:r>
              <w:rPr>
                <w:sz w:val="16"/>
              </w:rPr>
              <w:t>Resolved holdout</w:t>
            </w:r>
          </w:p>
        </w:tc>
        <w:tc>
          <w:tcPr>
            <w:tcW w:w="2520" w:type="dxa"/>
            <w:vAlign w:val="center"/>
            <w:tcMar>
              <w:top w:w="35" w:type="dxa"/>
              <w:start w:w="35" w:type="dxa"/>
              <w:bottom w:w="35" w:type="dxa"/>
              <w:end w:w="35" w:type="dxa"/>
            </w:tcMar>
          </w:tcPr>
          <w:p>
            <w:pPr>
              <w:spacing w:before="0" w:after="0" w:line="240" w:lineRule="auto"/>
              <w:jc w:val="right"/>
            </w:pPr>
            <w:r>
              <w:rPr>
                <w:sz w:val="16"/>
              </w:rPr>
              <w:t>Grade-term fallback</w:t>
            </w:r>
          </w:p>
        </w:tc>
        <w:tc>
          <w:tcPr>
            <w:tcW w:w="1440" w:type="dxa"/>
            <w:vAlign w:val="center"/>
            <w:tcMar>
              <w:top w:w="35" w:type="dxa"/>
              <w:start w:w="35" w:type="dxa"/>
              <w:bottom w:w="35" w:type="dxa"/>
              <w:end w:w="35" w:type="dxa"/>
            </w:tcMar>
          </w:tcPr>
          <w:p>
            <w:pPr>
              <w:spacing w:before="0" w:after="0" w:line="240" w:lineRule="auto"/>
              <w:jc w:val="right"/>
            </w:pPr>
            <w:r>
              <w:rPr>
                <w:sz w:val="16"/>
              </w:rPr>
              <w:t>225,611</w:t>
            </w:r>
          </w:p>
        </w:tc>
      </w:tr>
    </w:tbl>
    <w:p w14:paraId="7B5F5F48" w14:textId="77777777" w:rsidR="00BA041F" w:rsidRDefault="00BA041F"/>
    <w:p w14:paraId="14D74199" w14:textId="77777777" w:rsidR="00BA041F" w:rsidRDefault="00000000">
      <w:pPr>
        <w:pStyle w:val="Heading2"/>
        <w:jc w:val="left"/>
      </w:pPr>
      <w:r>
        <w:rPr>
          <w:rFonts w:ascii="Times New Roman" w:hAnsi="Times New Roman"/>
        </w:rPr>
        <w:t>4.4 Empirical Diagnostics and Interpretation</w:t>
      </w:r>
    </w:p>
    <w:p w14:paraId="20FC4866" w14:textId="77777777" w:rsidR="00BA041F" w:rsidRDefault="00000000">
      <w:pPr/>
      <w:r>
        <w:t>The charged-off proxy sample has a mean realized LGD of 90.86%, which already suggests that unsecured installment defaults in this dataset are characterized by low recovery. On the temporally held-out charged-off test loans, the credibility-weighted expected LGD lookup produces an MAE of 0.0692 and an RMSE of 0.0892.</w:t>
      </w:r>
    </w:p>
    <w:p w14:paraId="09724547" w14:textId="77777777" w:rsidR="00BA041F" w:rsidRDefault="00000000">
      <w:r>
        <w:t>A noteworthy identification detail is that all resolved holdout loans are scored with the grade-term fallback rather than the exact grade by term by origination-year cell. This is not a defect. It is a direct implication of the temporal design: the test vintages are 2017 onward, whereas the expected-LGD lookup is estimated only on pre-2017 charged-off data. Preserving temporal purity therefore requires the model to fall back to segment structures observed in the historical estimation window.</w:t>
      </w:r>
    </w:p>
    <w:p w14:paraId="7FD86E8F" w14:textId="77777777" w:rsidR="00BA041F" w:rsidRDefault="00000000">
      <w:r>
        <w:lastRenderedPageBreak/>
        <w:t>Figure 4.2 compares expected LGD with the realized LGD proxy on charged-off holdout loans and summarizes the empirical dispersion of the severity layer.</w:t>
      </w:r>
    </w:p>
    <w:p w14:paraId="2D1665E0" w14:textId="77777777" w:rsidR="00BA041F" w:rsidRDefault="00000000">
      <w:pPr>
        <w:ind w:firstLine="0"/>
        <w:jc w:val="center"/>
      </w:pPr>
      <w:r>
        <w:rPr>
          <w:noProof/>
        </w:rPr>
        <w:drawing>
          <wp:inline distT="0" distB="0" distL="0" distR="0" wp14:anchorId="5B19D369" wp14:editId="08D03FE9">
            <wp:extent cx="5303520" cy="530853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303520" cy="5308533"/>
                    </a:xfrm>
                    <a:prstGeom prst="rect">
                      <a:avLst/>
                    </a:prstGeom>
                  </pic:spPr>
                </pic:pic>
              </a:graphicData>
            </a:graphic>
          </wp:inline>
        </w:drawing>
      </w:r>
    </w:p>
    <w:p w14:paraId="4F4F1ADD" w14:textId="77777777" w:rsidR="00BA041F" w:rsidRDefault="00000000">
      <w:pPr>
        <w:pStyle w:val="CaptionAcademic"/>
      </w:pPr>
      <w:r>
        <w:t>Figure 4.2. Expected LGD versus realized LGD proxy on charged-off holdout loans.</w:t>
      </w:r>
    </w:p>
    <w:p w14:paraId="28C67DFB" w14:textId="77777777" w:rsidR="00BA041F" w:rsidRDefault="00000000">
      <w:r>
        <w:t>The diagnostic illustrates that both actual and predicted severity mass is concentrated near the upper end of the unit interval, which limits cross-sectional rank dispersion and makes simple correlation less informative. The error metrics are more relevant for the present application: an RMSE below ten percentage points indicates that the LGD layer is sufficiently stable for expected-loss aggregation and reserve segmentation under the available public-data constraints.</w:t>
      </w:r>
    </w:p>
    <w:p w14:paraId="61DBDD06" w14:textId="77777777" w:rsidR="00BA041F" w:rsidRDefault="00BA041F">
      <w:pPr>
        <w:sectPr w:rsidR="00BA041F">
          <w:pgSz w:w="12240" w:h="15840"/>
          <w:pgMar w:top="1440" w:right="1440" w:bottom="1440" w:left="1440" w:header="720" w:footer="720" w:gutter="0"/>
          <w:cols w:space="720"/>
          <w:docGrid w:linePitch="360"/>
        </w:sectPr>
      </w:pPr>
    </w:p>
    <w:p w14:paraId="4ABB1D06" w14:textId="77777777" w:rsidR="00BA041F" w:rsidRDefault="00000000">
      <w:pPr>
        <w:pStyle w:val="Heading1"/>
        <w:jc w:val="left"/>
      </w:pPr>
      <w:r>
        <w:rPr>
          <w:rFonts w:ascii="Times New Roman" w:hAnsi="Times New Roman"/>
        </w:rPr>
        <w:lastRenderedPageBreak/>
        <w:t>5. Expected Loss (Loan &amp; Portfolio Level)</w:t>
      </w:r>
    </w:p>
    <w:p w14:paraId="075553F6" w14:textId="77777777" w:rsidR="00BA041F" w:rsidRDefault="00000000">
      <w:pPr>
        <w:pStyle w:val="Heading2"/>
        <w:jc w:val="left"/>
      </w:pPr>
      <w:r>
        <w:rPr>
          <w:rFonts w:ascii="Times New Roman" w:hAnsi="Times New Roman"/>
        </w:rPr>
        <w:t>5.1 Conceptual Framework and Notation</w:t>
      </w:r>
    </w:p>
    <w:p w14:paraId="6F82C39B" w14:textId="77777777" w:rsidR="00BA041F" w:rsidRDefault="00000000">
      <w:pPr/>
      <w:r>
        <w:t>Expected loss is the bridge between borrower-level risk estimation and portfolio-level financial measurement. The updated framework now uses the original static HistGradientBoosting loan-level model for lifetime PD and a direct active-snapshot XGBoost model for twelve-month PD.</w:t>
      </w:r>
    </w:p>
    <w:p w14:paraId="0696F6D7" w14:textId="77777777" w:rsidR="00BA041F" w:rsidRDefault="00000000">
      <w:pPr>
        <w:pStyle w:val="CaptionAcademic"/>
      </w:pPr>
      <w:r>
        <w:t>Table 5.1. Conceptual mapping for expected-loss measurement.</w:t>
      </w:r>
    </w:p>
    <w:tbl>
      <w:tblPr>
        <w:tblStyle w:val="TableGrid"/>
        <w:tblW w:w="0" w:type="auto"/>
        <w:jc w:val="center"/>
        <w:tblLayout w:type="fixed"/>
        <w:tblLook w:val="04A0" w:firstRow="1" w:lastRow="0" w:firstColumn="1" w:lastColumn="0" w:noHBand="0" w:noVBand="1"/>
      </w:tblPr>
      <w:tblGrid>
        <w:gridCol w:w="2292"/>
        <w:gridCol w:w="2694"/>
        <w:gridCol w:w="2267"/>
        <w:gridCol w:w="2323"/>
      </w:tblGrid>
      <w:tr w:rsidR="00BA041F" w14:paraId="6A892BF5" w14:textId="77777777">
        <w:trPr>
          <w:jc w:val="center"/>
          <w:cantSplit/>
        </w:trPr>
        <w:tc>
          <w:tcPr>
            <w:tcW w:w="1181" w:type="dxa"/>
            <w:shd w:val="clear" w:color="auto" w:fill="E6E6E6"/>
            <w:vAlign w:val="center"/>
            <w:tcMar>
              <w:top w:w="35" w:type="dxa"/>
              <w:start w:w="35" w:type="dxa"/>
              <w:bottom w:w="35" w:type="dxa"/>
              <w:end w:w="35" w:type="dxa"/>
            </w:tcMar>
          </w:tcPr>
          <w:p w14:paraId="68884E60" w14:textId="77777777" w:rsidR="00BA041F" w:rsidRDefault="00000000">
            <w:pPr>
              <w:pStyle w:val="TableBodyAcademic"/>
              <w:spacing w:before="0" w:after="0" w:line="240" w:lineRule="auto"/>
              <w:jc w:val="left"/>
            </w:pPr>
            <w:r>
              <w:rPr>
                <w:b/>
                <w:sz w:val="14"/>
              </w:rPr>
              <w:t>Concept</w:t>
            </w:r>
          </w:p>
        </w:tc>
        <w:tc>
          <w:tcPr>
            <w:tcW w:w="2333" w:type="dxa"/>
            <w:shd w:val="clear" w:color="auto" w:fill="E6E6E6"/>
            <w:vAlign w:val="center"/>
            <w:tcMar>
              <w:top w:w="35" w:type="dxa"/>
              <w:start w:w="35" w:type="dxa"/>
              <w:bottom w:w="35" w:type="dxa"/>
              <w:end w:w="35" w:type="dxa"/>
            </w:tcMar>
          </w:tcPr>
          <w:p w14:paraId="5033A286" w14:textId="77777777" w:rsidR="00BA041F" w:rsidRDefault="00000000">
            <w:pPr>
              <w:pStyle w:val="TableBodyAcademic"/>
              <w:spacing w:before="0" w:after="0" w:line="240" w:lineRule="auto"/>
              <w:jc w:val="left"/>
            </w:pPr>
            <w:r>
              <w:rPr>
                <w:b/>
                <w:sz w:val="14"/>
              </w:rPr>
              <w:t>Definition</w:t>
            </w:r>
          </w:p>
        </w:tc>
        <w:tc>
          <w:tcPr>
            <w:tcW w:w="2477" w:type="dxa"/>
            <w:shd w:val="clear" w:color="auto" w:fill="E6E6E6"/>
            <w:vAlign w:val="center"/>
            <w:tcMar>
              <w:top w:w="35" w:type="dxa"/>
              <w:start w:w="35" w:type="dxa"/>
              <w:bottom w:w="35" w:type="dxa"/>
              <w:end w:w="35" w:type="dxa"/>
            </w:tcMar>
          </w:tcPr>
          <w:p w14:paraId="67EECCDD" w14:textId="77777777" w:rsidR="00BA041F" w:rsidRDefault="00000000">
            <w:pPr>
              <w:pStyle w:val="TableBodyAcademic"/>
              <w:spacing w:before="0" w:after="0" w:line="240" w:lineRule="auto"/>
              <w:jc w:val="left"/>
            </w:pPr>
            <w:r>
              <w:rPr>
                <w:b/>
                <w:sz w:val="14"/>
              </w:rPr>
              <w:t>Empirical source</w:t>
            </w:r>
          </w:p>
        </w:tc>
        <w:tc>
          <w:tcPr>
            <w:tcW w:w="3096" w:type="dxa"/>
            <w:shd w:val="clear" w:color="auto" w:fill="E6E6E6"/>
            <w:vAlign w:val="center"/>
            <w:tcMar>
              <w:top w:w="35" w:type="dxa"/>
              <w:start w:w="35" w:type="dxa"/>
              <w:bottom w:w="35" w:type="dxa"/>
              <w:end w:w="35" w:type="dxa"/>
            </w:tcMar>
          </w:tcPr>
          <w:p w14:paraId="4F36207D" w14:textId="77777777" w:rsidR="00BA041F" w:rsidRDefault="00000000">
            <w:pPr>
              <w:pStyle w:val="TableBodyAcademic"/>
              <w:spacing w:before="0" w:after="0" w:line="240" w:lineRule="auto"/>
              <w:jc w:val="left"/>
            </w:pPr>
            <w:r>
              <w:rPr>
                <w:b/>
                <w:sz w:val="14"/>
              </w:rPr>
              <w:t>Use in this paper</w:t>
            </w:r>
          </w:p>
        </w:tc>
      </w:tr>
      <w:tr w:rsidR="00BA041F" w14:paraId="2174D8DC" w14:textId="77777777">
        <w:trPr>
          <w:jc w:val="center"/>
          <w:cantSplit/>
        </w:trPr>
        <w:tc>
          <w:tcPr>
            <w:tcW w:w="1181" w:type="dxa"/>
            <w:vAlign w:val="center"/>
            <w:tcMar>
              <w:top w:w="35" w:type="dxa"/>
              <w:start w:w="35" w:type="dxa"/>
              <w:bottom w:w="35" w:type="dxa"/>
              <w:end w:w="35" w:type="dxa"/>
            </w:tcMar>
          </w:tcPr>
          <w:p>
            <w:pPr>
              <w:spacing w:before="0" w:after="0" w:line="240" w:lineRule="auto"/>
              <w:jc w:val="left"/>
            </w:pPr>
            <w:r>
              <w:rPr>
                <w:sz w:val="14"/>
              </w:rPr>
              <w:t>12-month PD</w:t>
            </w:r>
          </w:p>
        </w:tc>
        <w:tc>
          <w:tcPr>
            <w:tcW w:w="2333" w:type="dxa"/>
            <w:vAlign w:val="center"/>
            <w:tcMar>
              <w:top w:w="35" w:type="dxa"/>
              <w:start w:w="35" w:type="dxa"/>
              <w:bottom w:w="35" w:type="dxa"/>
              <w:end w:w="35" w:type="dxa"/>
            </w:tcMar>
          </w:tcPr>
          <w:p>
            <w:pPr>
              <w:spacing w:before="0" w:after="0" w:line="240" w:lineRule="auto"/>
              <w:jc w:val="right"/>
            </w:pPr>
            <w:r>
              <w:rPr>
                <w:sz w:val="14"/>
              </w:rPr>
              <w:t>Probability that a loan defaults within the next twelve months</w:t>
            </w:r>
          </w:p>
        </w:tc>
        <w:tc>
          <w:tcPr>
            <w:tcW w:w="2477" w:type="dxa"/>
            <w:vAlign w:val="center"/>
            <w:tcMar>
              <w:top w:w="35" w:type="dxa"/>
              <w:start w:w="35" w:type="dxa"/>
              <w:bottom w:w="35" w:type="dxa"/>
              <w:end w:w="35" w:type="dxa"/>
            </w:tcMar>
          </w:tcPr>
          <w:p>
            <w:pPr>
              <w:spacing w:before="0" w:after="0" w:line="240" w:lineRule="auto"/>
              <w:jc w:val="right"/>
            </w:pPr>
            <w:r>
              <w:rPr>
                <w:sz w:val="14"/>
              </w:rPr>
              <w:t>Direct active-snapshot XGBoost model</w:t>
            </w:r>
          </w:p>
        </w:tc>
        <w:tc>
          <w:tcPr>
            <w:tcW w:w="3096" w:type="dxa"/>
            <w:vAlign w:val="center"/>
            <w:tcMar>
              <w:top w:w="35" w:type="dxa"/>
              <w:start w:w="35" w:type="dxa"/>
              <w:bottom w:w="35" w:type="dxa"/>
              <w:end w:w="35" w:type="dxa"/>
            </w:tcMar>
          </w:tcPr>
          <w:p>
            <w:pPr>
              <w:spacing w:before="0" w:after="0" w:line="240" w:lineRule="auto"/>
              <w:jc w:val="right"/>
            </w:pPr>
            <w:r>
              <w:rPr>
                <w:sz w:val="14"/>
              </w:rPr>
              <w:t>Near-term expected-loss measurement for active-at-snapshot cohorts</w:t>
            </w:r>
          </w:p>
        </w:tc>
      </w:tr>
      <w:tr w:rsidR="00BA041F" w14:paraId="2D99A532" w14:textId="77777777">
        <w:trPr>
          <w:jc w:val="center"/>
          <w:cantSplit/>
        </w:trPr>
        <w:tc>
          <w:tcPr>
            <w:tcW w:w="1181" w:type="dxa"/>
            <w:vAlign w:val="center"/>
            <w:tcMar>
              <w:top w:w="35" w:type="dxa"/>
              <w:start w:w="35" w:type="dxa"/>
              <w:bottom w:w="35" w:type="dxa"/>
              <w:end w:w="35" w:type="dxa"/>
            </w:tcMar>
          </w:tcPr>
          <w:p>
            <w:pPr>
              <w:spacing w:before="0" w:after="0" w:line="240" w:lineRule="auto"/>
              <w:jc w:val="left"/>
            </w:pPr>
            <w:r>
              <w:rPr>
                <w:sz w:val="14"/>
              </w:rPr>
              <w:t>Lifetime PD</w:t>
            </w:r>
          </w:p>
        </w:tc>
        <w:tc>
          <w:tcPr>
            <w:tcW w:w="2333" w:type="dxa"/>
            <w:vAlign w:val="center"/>
            <w:tcMar>
              <w:top w:w="35" w:type="dxa"/>
              <w:start w:w="35" w:type="dxa"/>
              <w:bottom w:w="35" w:type="dxa"/>
              <w:end w:w="35" w:type="dxa"/>
            </w:tcMar>
          </w:tcPr>
          <w:p>
            <w:pPr>
              <w:spacing w:before="0" w:after="0" w:line="240" w:lineRule="auto"/>
              <w:jc w:val="right"/>
            </w:pPr>
            <w:r>
              <w:rPr>
                <w:sz w:val="14"/>
              </w:rPr>
              <w:t>Probability that a loan defaults over its remaining contractual life</w:t>
            </w:r>
          </w:p>
        </w:tc>
        <w:tc>
          <w:tcPr>
            <w:tcW w:w="2477" w:type="dxa"/>
            <w:vAlign w:val="center"/>
            <w:tcMar>
              <w:top w:w="35" w:type="dxa"/>
              <w:start w:w="35" w:type="dxa"/>
              <w:bottom w:w="35" w:type="dxa"/>
              <w:end w:w="35" w:type="dxa"/>
            </w:tcMar>
          </w:tcPr>
          <w:p>
            <w:pPr>
              <w:spacing w:before="0" w:after="0" w:line="240" w:lineRule="auto"/>
              <w:jc w:val="right"/>
            </w:pPr>
            <w:r>
              <w:rPr>
                <w:sz w:val="14"/>
              </w:rPr>
              <w:t>Original static HistGradientBoosting loan-level model</w:t>
            </w:r>
          </w:p>
        </w:tc>
        <w:tc>
          <w:tcPr>
            <w:tcW w:w="3096" w:type="dxa"/>
            <w:vAlign w:val="center"/>
            <w:tcMar>
              <w:top w:w="35" w:type="dxa"/>
              <w:start w:w="35" w:type="dxa"/>
              <w:bottom w:w="35" w:type="dxa"/>
              <w:end w:w="35" w:type="dxa"/>
            </w:tcMar>
          </w:tcPr>
          <w:p>
            <w:pPr>
              <w:spacing w:before="0" w:after="0" w:line="240" w:lineRule="auto"/>
              <w:jc w:val="right"/>
            </w:pPr>
            <w:r>
              <w:rPr>
                <w:sz w:val="14"/>
              </w:rPr>
              <w:t>Remaining-life reserve-style analytics</w:t>
            </w:r>
          </w:p>
        </w:tc>
      </w:tr>
      <w:tr w:rsidR="00BA041F" w14:paraId="4CC5A503" w14:textId="77777777">
        <w:trPr>
          <w:jc w:val="center"/>
          <w:cantSplit/>
        </w:trPr>
        <w:tc>
          <w:tcPr>
            <w:tcW w:w="1181" w:type="dxa"/>
            <w:vAlign w:val="center"/>
            <w:tcMar>
              <w:top w:w="35" w:type="dxa"/>
              <w:start w:w="35" w:type="dxa"/>
              <w:bottom w:w="35" w:type="dxa"/>
              <w:end w:w="35" w:type="dxa"/>
            </w:tcMar>
          </w:tcPr>
          <w:p w14:paraId="7A634C26" w14:textId="77777777" w:rsidR="00BA041F" w:rsidRDefault="00000000">
            <w:pPr>
              <w:pStyle w:val="TableBodyAcademic"/>
              <w:spacing w:before="0" w:after="0" w:line="240" w:lineRule="auto"/>
              <w:jc w:val="left"/>
            </w:pPr>
            <w:r>
              <w:rPr>
                <w:sz w:val="14"/>
              </w:rPr>
              <w:t>Expected LGD</w:t>
            </w:r>
          </w:p>
        </w:tc>
        <w:tc>
          <w:tcPr>
            <w:tcW w:w="2333" w:type="dxa"/>
            <w:vAlign w:val="center"/>
            <w:tcMar>
              <w:top w:w="35" w:type="dxa"/>
              <w:start w:w="35" w:type="dxa"/>
              <w:bottom w:w="35" w:type="dxa"/>
              <w:end w:w="35" w:type="dxa"/>
            </w:tcMar>
          </w:tcPr>
          <w:p w14:paraId="4E6D379A" w14:textId="77777777" w:rsidR="00BA041F" w:rsidRDefault="00000000">
            <w:pPr>
              <w:pStyle w:val="TableBodyAcademic"/>
              <w:spacing w:before="0" w:after="0" w:line="240" w:lineRule="auto"/>
              <w:jc w:val="right"/>
            </w:pPr>
            <w:r>
              <w:rPr>
                <w:sz w:val="14"/>
              </w:rPr>
              <w:t>Expected share of exposure lost if default occurs</w:t>
            </w:r>
          </w:p>
        </w:tc>
        <w:tc>
          <w:tcPr>
            <w:tcW w:w="2477" w:type="dxa"/>
            <w:vAlign w:val="center"/>
            <w:tcMar>
              <w:top w:w="35" w:type="dxa"/>
              <w:start w:w="35" w:type="dxa"/>
              <w:bottom w:w="35" w:type="dxa"/>
              <w:end w:w="35" w:type="dxa"/>
            </w:tcMar>
          </w:tcPr>
          <w:p w14:paraId="4EFAFB11" w14:textId="77777777" w:rsidR="00BA041F" w:rsidRDefault="00000000">
            <w:pPr>
              <w:pStyle w:val="TableBodyAcademic"/>
              <w:spacing w:before="0" w:after="0" w:line="240" w:lineRule="auto"/>
              <w:jc w:val="right"/>
            </w:pPr>
            <w:r>
              <w:rPr>
                <w:sz w:val="14"/>
              </w:rPr>
              <w:t>Credibility-weighted lookup from charged-off loans</w:t>
            </w:r>
          </w:p>
        </w:tc>
        <w:tc>
          <w:tcPr>
            <w:tcW w:w="3096" w:type="dxa"/>
            <w:vAlign w:val="center"/>
            <w:tcMar>
              <w:top w:w="35" w:type="dxa"/>
              <w:start w:w="35" w:type="dxa"/>
              <w:bottom w:w="35" w:type="dxa"/>
              <w:end w:w="35" w:type="dxa"/>
            </w:tcMar>
          </w:tcPr>
          <w:p w14:paraId="0D7E9924" w14:textId="77777777" w:rsidR="00BA041F" w:rsidRDefault="00000000">
            <w:pPr>
              <w:pStyle w:val="TableBodyAcademic"/>
              <w:spacing w:before="0" w:after="0" w:line="240" w:lineRule="auto"/>
              <w:jc w:val="right"/>
            </w:pPr>
            <w:r>
              <w:rPr>
                <w:sz w:val="14"/>
              </w:rPr>
              <w:t>Common severity input across forecasting horizons</w:t>
            </w:r>
          </w:p>
        </w:tc>
      </w:tr>
      <w:tr w:rsidR="00BA041F" w14:paraId="62CC1E22" w14:textId="77777777">
        <w:trPr>
          <w:jc w:val="center"/>
          <w:cantSplit/>
        </w:trPr>
        <w:tc>
          <w:tcPr>
            <w:tcW w:w="1181" w:type="dxa"/>
            <w:vAlign w:val="center"/>
            <w:tcMar>
              <w:top w:w="35" w:type="dxa"/>
              <w:start w:w="35" w:type="dxa"/>
              <w:bottom w:w="35" w:type="dxa"/>
              <w:end w:w="35" w:type="dxa"/>
            </w:tcMar>
          </w:tcPr>
          <w:p w14:paraId="55584100" w14:textId="77777777" w:rsidR="00BA041F" w:rsidRDefault="00000000">
            <w:pPr>
              <w:pStyle w:val="TableBodyAcademic"/>
              <w:spacing w:before="0" w:after="0" w:line="240" w:lineRule="auto"/>
              <w:jc w:val="left"/>
            </w:pPr>
            <w:r>
              <w:rPr>
                <w:sz w:val="14"/>
              </w:rPr>
              <w:t>EAD</w:t>
            </w:r>
          </w:p>
        </w:tc>
        <w:tc>
          <w:tcPr>
            <w:tcW w:w="2333" w:type="dxa"/>
            <w:vAlign w:val="center"/>
            <w:tcMar>
              <w:top w:w="35" w:type="dxa"/>
              <w:start w:w="35" w:type="dxa"/>
              <w:bottom w:w="35" w:type="dxa"/>
              <w:end w:w="35" w:type="dxa"/>
            </w:tcMar>
          </w:tcPr>
          <w:p w14:paraId="35C27FD5" w14:textId="77777777" w:rsidR="00BA041F" w:rsidRDefault="00000000">
            <w:pPr>
              <w:pStyle w:val="TableBodyAcademic"/>
              <w:spacing w:before="0" w:after="0" w:line="240" w:lineRule="auto"/>
              <w:jc w:val="right"/>
            </w:pPr>
            <w:r>
              <w:rPr>
                <w:sz w:val="14"/>
              </w:rPr>
              <w:t>Dollar amount at risk when loss is measured</w:t>
            </w:r>
          </w:p>
        </w:tc>
        <w:tc>
          <w:tcPr>
            <w:tcW w:w="2477" w:type="dxa"/>
            <w:vAlign w:val="center"/>
            <w:tcMar>
              <w:top w:w="35" w:type="dxa"/>
              <w:start w:w="35" w:type="dxa"/>
              <w:bottom w:w="35" w:type="dxa"/>
              <w:end w:w="35" w:type="dxa"/>
            </w:tcMar>
          </w:tcPr>
          <w:p w14:paraId="01AED843" w14:textId="77777777" w:rsidR="00BA041F" w:rsidRDefault="00000000">
            <w:pPr>
              <w:pStyle w:val="TableBodyAcademic"/>
              <w:spacing w:before="0" w:after="0" w:line="240" w:lineRule="auto"/>
              <w:jc w:val="right"/>
            </w:pPr>
            <w:r>
              <w:rPr>
                <w:sz w:val="14"/>
              </w:rPr>
              <w:t>Original funded amount for resolved loans; current exposure for active loans</w:t>
            </w:r>
          </w:p>
        </w:tc>
        <w:tc>
          <w:tcPr>
            <w:tcW w:w="3096" w:type="dxa"/>
            <w:vAlign w:val="center"/>
            <w:tcMar>
              <w:top w:w="35" w:type="dxa"/>
              <w:start w:w="35" w:type="dxa"/>
              <w:bottom w:w="35" w:type="dxa"/>
              <w:end w:w="35" w:type="dxa"/>
            </w:tcMar>
          </w:tcPr>
          <w:p w14:paraId="2BAB3990" w14:textId="77777777" w:rsidR="00BA041F" w:rsidRDefault="00000000">
            <w:pPr>
              <w:pStyle w:val="TableBodyAcademic"/>
              <w:spacing w:before="0" w:after="0" w:line="240" w:lineRule="auto"/>
              <w:jc w:val="right"/>
            </w:pPr>
            <w:r>
              <w:rPr>
                <w:sz w:val="14"/>
              </w:rPr>
              <w:t>Dollar scaling of expected loss</w:t>
            </w:r>
          </w:p>
        </w:tc>
      </w:tr>
      <w:tr w:rsidR="00BA041F" w14:paraId="09C9E7BD" w14:textId="77777777">
        <w:trPr>
          <w:jc w:val="center"/>
          <w:cantSplit/>
        </w:trPr>
        <w:tc>
          <w:tcPr>
            <w:tcW w:w="1181" w:type="dxa"/>
            <w:vAlign w:val="center"/>
            <w:tcMar>
              <w:top w:w="35" w:type="dxa"/>
              <w:start w:w="35" w:type="dxa"/>
              <w:bottom w:w="35" w:type="dxa"/>
              <w:end w:w="35" w:type="dxa"/>
            </w:tcMar>
          </w:tcPr>
          <w:p w14:paraId="4BACE082" w14:textId="77777777" w:rsidR="00BA041F" w:rsidRDefault="00000000">
            <w:pPr>
              <w:pStyle w:val="TableBodyAcademic"/>
              <w:spacing w:before="0" w:after="0" w:line="240" w:lineRule="auto"/>
              <w:jc w:val="left"/>
            </w:pPr>
            <w:r>
              <w:rPr>
                <w:sz w:val="14"/>
              </w:rPr>
              <w:t>EL</w:t>
            </w:r>
          </w:p>
        </w:tc>
        <w:tc>
          <w:tcPr>
            <w:tcW w:w="2333" w:type="dxa"/>
            <w:vAlign w:val="center"/>
            <w:tcMar>
              <w:top w:w="35" w:type="dxa"/>
              <w:start w:w="35" w:type="dxa"/>
              <w:bottom w:w="35" w:type="dxa"/>
              <w:end w:w="35" w:type="dxa"/>
            </w:tcMar>
          </w:tcPr>
          <w:p w14:paraId="422DB31E" w14:textId="77777777" w:rsidR="00BA041F" w:rsidRDefault="00000000">
            <w:pPr>
              <w:pStyle w:val="TableBodyAcademic"/>
              <w:spacing w:before="0" w:after="0" w:line="240" w:lineRule="auto"/>
              <w:jc w:val="right"/>
            </w:pPr>
            <w:r>
              <w:rPr>
                <w:sz w:val="14"/>
              </w:rPr>
              <w:t>Product of PD, LGD, and EAD</w:t>
            </w:r>
          </w:p>
        </w:tc>
        <w:tc>
          <w:tcPr>
            <w:tcW w:w="2477" w:type="dxa"/>
            <w:vAlign w:val="center"/>
            <w:tcMar>
              <w:top w:w="35" w:type="dxa"/>
              <w:start w:w="35" w:type="dxa"/>
              <w:bottom w:w="35" w:type="dxa"/>
              <w:end w:w="35" w:type="dxa"/>
            </w:tcMar>
          </w:tcPr>
          <w:p w14:paraId="6E3D6235" w14:textId="77777777" w:rsidR="00BA041F" w:rsidRDefault="00000000">
            <w:pPr>
              <w:pStyle w:val="TableBodyAcademic"/>
              <w:spacing w:before="0" w:after="0" w:line="240" w:lineRule="auto"/>
              <w:jc w:val="right"/>
            </w:pPr>
            <w:r>
              <w:rPr>
                <w:sz w:val="14"/>
              </w:rPr>
              <w:t>Integrated output of the three risk components</w:t>
            </w:r>
          </w:p>
        </w:tc>
        <w:tc>
          <w:tcPr>
            <w:tcW w:w="3096" w:type="dxa"/>
            <w:vAlign w:val="center"/>
            <w:tcMar>
              <w:top w:w="35" w:type="dxa"/>
              <w:start w:w="35" w:type="dxa"/>
              <w:bottom w:w="35" w:type="dxa"/>
              <w:end w:w="35" w:type="dxa"/>
            </w:tcMar>
          </w:tcPr>
          <w:p w14:paraId="43ED8310" w14:textId="77777777" w:rsidR="00BA041F" w:rsidRDefault="00000000">
            <w:pPr>
              <w:pStyle w:val="TableBodyAcademic"/>
              <w:spacing w:before="0" w:after="0" w:line="240" w:lineRule="auto"/>
              <w:jc w:val="right"/>
            </w:pPr>
            <w:r>
              <w:rPr>
                <w:sz w:val="14"/>
              </w:rPr>
              <w:t>Loan-level and portfolio-level loss measurement</w:t>
            </w:r>
          </w:p>
        </w:tc>
      </w:tr>
    </w:tbl>
    <w:p w14:paraId="21CBF8DB" w14:textId="77777777" w:rsidR="00BA041F" w:rsidRDefault="00BA041F"/>
    <w:p w14:paraId="2916B011" w14:textId="77777777" w:rsidR="00BA041F" w:rsidRDefault="00000000">
      <w:pPr/>
      <w:r>
        <w:t>The calendar-time hazard comparison remains useful for governance because it documents the intermediate monthly survival approach. It is no longer the main twelve-month PD input: lifetime expected loss uses the rerun original static model, while twelve-month expected loss uses the calibrated direct active-snapshot model.</w:t>
      </w:r>
    </w:p>
    <w:p w14:paraId="666D5317" w14:textId="77777777" w:rsidR="00BA041F" w:rsidRDefault="00000000">
      <w:r>
        <w:br w:type="page"/>
      </w:r>
    </w:p>
    <w:p w14:paraId="0B198E2C" w14:textId="77777777" w:rsidR="00BA041F" w:rsidRDefault="00000000">
      <w:pPr>
        <w:pStyle w:val="CaptionAcademic"/>
      </w:pPr>
      <w:r>
        <w:t>Table 5.2. Direct twelve-month champion versus calendar-time hazard diagnostic on the full observable twelve-month cohort.</w:t>
      </w:r>
    </w:p>
    <w:tbl>
      <w:tblPr>
        <w:tblStyle w:val="TableGrid"/>
        <w:tblW w:w="0" w:type="auto"/>
        <w:jc w:val="center"/>
        <w:tblLayout w:type="fixed"/>
        <w:tblLook w:val="04A0" w:firstRow="1" w:lastRow="0" w:firstColumn="1" w:lastColumn="0" w:noHBand="0" w:noVBand="1"/>
      </w:tblPr>
      <w:tblGrid>
        <w:gridCol w:w="1884"/>
        <w:gridCol w:w="906"/>
        <w:gridCol w:w="1170"/>
        <w:gridCol w:w="1112"/>
        <w:gridCol w:w="1228"/>
        <w:gridCol w:w="1131"/>
        <w:gridCol w:w="1014"/>
        <w:gridCol w:w="1131"/>
      </w:tblGrid>
      <w:tr w:rsidR="00BA041F" w14:paraId="1C0FDF99" w14:textId="77777777">
        <w:trPr>
          <w:jc w:val="center"/>
          <w:cantSplit/>
        </w:trPr>
        <w:tc>
          <w:tcPr>
            <w:tcW w:w="1440" w:type="dxa"/>
            <w:shd w:val="clear" w:color="auto" w:fill="E6E6E6"/>
            <w:vAlign w:val="center"/>
            <w:tcMar>
              <w:top w:w="35" w:type="dxa"/>
              <w:start w:w="35" w:type="dxa"/>
              <w:bottom w:w="35" w:type="dxa"/>
              <w:end w:w="35" w:type="dxa"/>
            </w:tcMar>
          </w:tcPr>
          <w:p>
            <w:pPr>
              <w:spacing w:before="0" w:after="0" w:line="240" w:lineRule="auto"/>
              <w:jc w:val="left"/>
            </w:pPr>
            <w:r>
              <w:rPr>
                <w:b/>
                <w:sz w:val="13"/>
              </w:rPr>
              <w:t>12M PD model</w:t>
            </w:r>
          </w:p>
        </w:tc>
        <w:tc>
          <w:tcPr>
            <w:tcW w:w="792" w:type="dxa"/>
            <w:shd w:val="clear" w:color="auto" w:fill="E6E6E6"/>
            <w:vAlign w:val="center"/>
            <w:tcMar>
              <w:top w:w="35" w:type="dxa"/>
              <w:start w:w="35" w:type="dxa"/>
              <w:bottom w:w="35" w:type="dxa"/>
              <w:end w:w="35" w:type="dxa"/>
            </w:tcMar>
          </w:tcPr>
          <w:p>
            <w:pPr>
              <w:spacing w:before="0" w:after="0" w:line="240" w:lineRule="auto"/>
              <w:jc w:val="left"/>
            </w:pPr>
            <w:r>
              <w:rPr>
                <w:b/>
                <w:sz w:val="13"/>
              </w:rPr>
              <w:t>Role</w:t>
            </w:r>
          </w:p>
        </w:tc>
        <w:tc>
          <w:tcPr>
            <w:tcW w:w="965" w:type="dxa"/>
            <w:shd w:val="clear" w:color="auto" w:fill="E6E6E6"/>
            <w:vAlign w:val="center"/>
            <w:tcMar>
              <w:top w:w="35" w:type="dxa"/>
              <w:start w:w="35" w:type="dxa"/>
              <w:bottom w:w="35" w:type="dxa"/>
              <w:end w:w="35" w:type="dxa"/>
            </w:tcMar>
          </w:tcPr>
          <w:p>
            <w:pPr>
              <w:spacing w:before="0" w:after="0" w:line="240" w:lineRule="auto"/>
              <w:jc w:val="left"/>
            </w:pPr>
            <w:r>
              <w:rPr>
                <w:b/>
                <w:sz w:val="13"/>
              </w:rPr>
              <w:t>Main EL</w:t>
            </w:r>
          </w:p>
        </w:tc>
        <w:tc>
          <w:tcPr>
            <w:tcW w:w="965" w:type="dxa"/>
            <w:shd w:val="clear" w:color="auto" w:fill="E6E6E6"/>
            <w:vAlign w:val="center"/>
            <w:tcMar>
              <w:top w:w="35" w:type="dxa"/>
              <w:start w:w="35" w:type="dxa"/>
              <w:bottom w:w="35" w:type="dxa"/>
              <w:end w:w="35" w:type="dxa"/>
            </w:tcMar>
          </w:tcPr>
          <w:p>
            <w:pPr>
              <w:spacing w:before="0" w:after="0" w:line="240" w:lineRule="auto"/>
              <w:jc w:val="left"/>
            </w:pPr>
            <w:r>
              <w:rPr>
                <w:b/>
                <w:sz w:val="13"/>
              </w:rPr>
              <w:t>AUC</w:t>
            </w:r>
          </w:p>
        </w:tc>
        <w:tc>
          <w:tcPr>
            <w:tcW w:w="1037" w:type="dxa"/>
            <w:shd w:val="clear" w:color="auto" w:fill="E6E6E6"/>
            <w:vAlign w:val="center"/>
            <w:tcMar>
              <w:top w:w="35" w:type="dxa"/>
              <w:start w:w="35" w:type="dxa"/>
              <w:bottom w:w="35" w:type="dxa"/>
              <w:end w:w="35" w:type="dxa"/>
            </w:tcMar>
          </w:tcPr>
          <w:p>
            <w:pPr>
              <w:spacing w:before="0" w:after="0" w:line="240" w:lineRule="auto"/>
              <w:jc w:val="left"/>
            </w:pPr>
            <w:r>
              <w:rPr>
                <w:b/>
                <w:sz w:val="13"/>
              </w:rPr>
              <w:t>KS</w:t>
            </w:r>
          </w:p>
        </w:tc>
        <w:tc>
          <w:tcPr>
            <w:tcW w:w="965" w:type="dxa"/>
            <w:shd w:val="clear" w:color="auto" w:fill="E6E6E6"/>
            <w:vAlign w:val="center"/>
            <w:tcMar>
              <w:top w:w="35" w:type="dxa"/>
              <w:start w:w="35" w:type="dxa"/>
              <w:bottom w:w="35" w:type="dxa"/>
              <w:end w:w="35" w:type="dxa"/>
            </w:tcMar>
          </w:tcPr>
          <w:p>
            <w:pPr>
              <w:spacing w:before="0" w:after="0" w:line="240" w:lineRule="auto"/>
              <w:jc w:val="left"/>
            </w:pPr>
            <w:r>
              <w:rPr>
                <w:b/>
                <w:sz w:val="13"/>
              </w:rPr>
              <w:t>Brier</w:t>
            </w:r>
          </w:p>
        </w:tc>
        <w:tc>
          <w:tcPr>
            <w:tcW w:w="965" w:type="dxa"/>
            <w:shd w:val="clear" w:color="auto" w:fill="E6E6E6"/>
            <w:vAlign w:val="center"/>
            <w:tcMar>
              <w:top w:w="35" w:type="dxa"/>
              <w:start w:w="35" w:type="dxa"/>
              <w:bottom w:w="35" w:type="dxa"/>
              <w:end w:w="35" w:type="dxa"/>
            </w:tcMar>
          </w:tcPr>
          <w:p>
            <w:pPr>
              <w:spacing w:before="0" w:after="0" w:line="240" w:lineRule="auto"/>
              <w:jc w:val="left"/>
            </w:pPr>
            <w:r>
              <w:rPr>
                <w:b/>
                <w:sz w:val="13"/>
              </w:rPr>
              <w:t>Avg PD</w:t>
            </w:r>
          </w:p>
        </w:tc>
        <w:tc>
          <w:tcPr>
            <w:tcW w:w="1037" w:type="dxa"/>
            <w:shd w:val="clear" w:color="auto" w:fill="E6E6E6"/>
            <w:vAlign w:val="center"/>
            <w:tcMar>
              <w:top w:w="35" w:type="dxa"/>
              <w:start w:w="35" w:type="dxa"/>
              <w:bottom w:w="35" w:type="dxa"/>
              <w:end w:w="35" w:type="dxa"/>
            </w:tcMar>
          </w:tcPr>
          <w:p>
            <w:pPr>
              <w:spacing w:before="0" w:after="0" w:line="240" w:lineRule="auto"/>
              <w:jc w:val="left"/>
            </w:pPr>
            <w:r>
              <w:rPr>
                <w:b/>
                <w:sz w:val="13"/>
              </w:rPr>
              <w:t>EL coverage</w:t>
            </w:r>
          </w:p>
        </w:tc>
      </w:tr>
      <w:tr w:rsidR="00BA041F" w14:paraId="07F7DCC0" w14:textId="77777777">
        <w:trPr>
          <w:jc w:val="center"/>
          <w:cantSplit/>
        </w:trPr>
        <w:tc>
          <w:tcPr>
            <w:tcW w:w="1440" w:type="dxa"/>
            <w:vAlign w:val="center"/>
            <w:tcMar>
              <w:top w:w="35" w:type="dxa"/>
              <w:start w:w="35" w:type="dxa"/>
              <w:bottom w:w="35" w:type="dxa"/>
              <w:end w:w="35" w:type="dxa"/>
            </w:tcMar>
          </w:tcPr>
          <w:p>
            <w:pPr>
              <w:spacing w:before="0" w:after="0" w:line="240" w:lineRule="auto"/>
              <w:jc w:val="left"/>
            </w:pPr>
            <w:r>
              <w:rPr>
                <w:sz w:val="13"/>
              </w:rPr>
              <w:t>Direct active-snapshot XGBoost</w:t>
            </w:r>
          </w:p>
        </w:tc>
        <w:tc>
          <w:tcPr>
            <w:tcW w:w="792" w:type="dxa"/>
            <w:vAlign w:val="center"/>
            <w:tcMar>
              <w:top w:w="35" w:type="dxa"/>
              <w:start w:w="35" w:type="dxa"/>
              <w:bottom w:w="35" w:type="dxa"/>
              <w:end w:w="35" w:type="dxa"/>
            </w:tcMar>
          </w:tcPr>
          <w:p>
            <w:pPr>
              <w:spacing w:before="0" w:after="0" w:line="240" w:lineRule="auto"/>
              <w:jc w:val="right"/>
            </w:pPr>
            <w:r>
              <w:rPr>
                <w:sz w:val="13"/>
              </w:rPr>
              <w:t>Champion</w:t>
            </w:r>
          </w:p>
        </w:tc>
        <w:tc>
          <w:tcPr>
            <w:tcW w:w="965" w:type="dxa"/>
            <w:vAlign w:val="center"/>
            <w:tcMar>
              <w:top w:w="35" w:type="dxa"/>
              <w:start w:w="35" w:type="dxa"/>
              <w:bottom w:w="35" w:type="dxa"/>
              <w:end w:w="35" w:type="dxa"/>
            </w:tcMar>
          </w:tcPr>
          <w:p>
            <w:pPr>
              <w:spacing w:before="0" w:after="0" w:line="240" w:lineRule="auto"/>
              <w:jc w:val="right"/>
            </w:pPr>
            <w:r>
              <w:rPr>
                <w:sz w:val="13"/>
              </w:rPr>
              <w:t>Yes</w:t>
            </w:r>
          </w:p>
        </w:tc>
        <w:tc>
          <w:tcPr>
            <w:tcW w:w="965" w:type="dxa"/>
            <w:vAlign w:val="center"/>
            <w:tcMar>
              <w:top w:w="35" w:type="dxa"/>
              <w:start w:w="35" w:type="dxa"/>
              <w:bottom w:w="35" w:type="dxa"/>
              <w:end w:w="35" w:type="dxa"/>
            </w:tcMar>
          </w:tcPr>
          <w:p>
            <w:pPr>
              <w:spacing w:before="0" w:after="0" w:line="240" w:lineRule="auto"/>
              <w:jc w:val="right"/>
            </w:pPr>
            <w:r>
              <w:rPr>
                <w:sz w:val="13"/>
              </w:rPr>
              <w:t>0.6672</w:t>
            </w:r>
          </w:p>
        </w:tc>
        <w:tc>
          <w:tcPr>
            <w:tcW w:w="1037" w:type="dxa"/>
            <w:vAlign w:val="center"/>
            <w:tcMar>
              <w:top w:w="35" w:type="dxa"/>
              <w:start w:w="35" w:type="dxa"/>
              <w:bottom w:w="35" w:type="dxa"/>
              <w:end w:w="35" w:type="dxa"/>
            </w:tcMar>
          </w:tcPr>
          <w:p>
            <w:pPr>
              <w:spacing w:before="0" w:after="0" w:line="240" w:lineRule="auto"/>
              <w:jc w:val="right"/>
            </w:pPr>
            <w:r>
              <w:rPr>
                <w:sz w:val="13"/>
              </w:rPr>
              <w:t>0.2380</w:t>
            </w:r>
          </w:p>
        </w:tc>
        <w:tc>
          <w:tcPr>
            <w:tcW w:w="965" w:type="dxa"/>
            <w:vAlign w:val="center"/>
            <w:tcMar>
              <w:top w:w="35" w:type="dxa"/>
              <w:start w:w="35" w:type="dxa"/>
              <w:bottom w:w="35" w:type="dxa"/>
              <w:end w:w="35" w:type="dxa"/>
            </w:tcMar>
          </w:tcPr>
          <w:p>
            <w:pPr>
              <w:spacing w:before="0" w:after="0" w:line="240" w:lineRule="auto"/>
              <w:jc w:val="right"/>
            </w:pPr>
            <w:r>
              <w:rPr>
                <w:sz w:val="13"/>
              </w:rPr>
              <w:t>0.0565</w:t>
            </w:r>
          </w:p>
        </w:tc>
        <w:tc>
          <w:tcPr>
            <w:tcW w:w="965" w:type="dxa"/>
            <w:vAlign w:val="center"/>
            <w:tcMar>
              <w:top w:w="35" w:type="dxa"/>
              <w:start w:w="35" w:type="dxa"/>
              <w:bottom w:w="35" w:type="dxa"/>
              <w:end w:w="35" w:type="dxa"/>
            </w:tcMar>
          </w:tcPr>
          <w:p>
            <w:pPr>
              <w:spacing w:before="0" w:after="0" w:line="240" w:lineRule="auto"/>
              <w:jc w:val="right"/>
            </w:pPr>
            <w:r>
              <w:rPr>
                <w:sz w:val="13"/>
              </w:rPr>
              <w:t>7.95%</w:t>
            </w:r>
          </w:p>
        </w:tc>
        <w:tc>
          <w:tcPr>
            <w:tcW w:w="1037" w:type="dxa"/>
            <w:vAlign w:val="center"/>
            <w:tcMar>
              <w:top w:w="35" w:type="dxa"/>
              <w:start w:w="35" w:type="dxa"/>
              <w:bottom w:w="35" w:type="dxa"/>
              <w:end w:w="35" w:type="dxa"/>
            </w:tcMar>
          </w:tcPr>
          <w:p>
            <w:pPr>
              <w:spacing w:before="0" w:after="0" w:line="240" w:lineRule="auto"/>
              <w:jc w:val="right"/>
            </w:pPr>
            <w:r>
              <w:rPr>
                <w:sz w:val="13"/>
              </w:rPr>
              <w:t>142.53%</w:t>
            </w:r>
          </w:p>
        </w:tc>
      </w:tr>
      <w:tr w:rsidR="00BA041F" w14:paraId="7FA97DB4" w14:textId="77777777">
        <w:trPr>
          <w:jc w:val="center"/>
          <w:cantSplit/>
        </w:trPr>
        <w:tc>
          <w:tcPr>
            <w:tcW w:w="1440" w:type="dxa"/>
            <w:vAlign w:val="center"/>
            <w:tcMar>
              <w:top w:w="35" w:type="dxa"/>
              <w:start w:w="35" w:type="dxa"/>
              <w:bottom w:w="35" w:type="dxa"/>
              <w:end w:w="35" w:type="dxa"/>
            </w:tcMar>
          </w:tcPr>
          <w:p>
            <w:pPr>
              <w:spacing w:before="0" w:after="0" w:line="240" w:lineRule="auto"/>
              <w:jc w:val="left"/>
            </w:pPr>
            <w:r>
              <w:rPr>
                <w:sz w:val="13"/>
              </w:rPr>
              <w:t>Calendar-time hazard diagnostic</w:t>
            </w:r>
          </w:p>
        </w:tc>
        <w:tc>
          <w:tcPr>
            <w:tcW w:w="792" w:type="dxa"/>
            <w:vAlign w:val="center"/>
            <w:tcMar>
              <w:top w:w="35" w:type="dxa"/>
              <w:start w:w="35" w:type="dxa"/>
              <w:bottom w:w="35" w:type="dxa"/>
              <w:end w:w="35" w:type="dxa"/>
            </w:tcMar>
          </w:tcPr>
          <w:p>
            <w:pPr>
              <w:spacing w:before="0" w:after="0" w:line="240" w:lineRule="auto"/>
              <w:jc w:val="right"/>
            </w:pPr>
            <w:r>
              <w:rPr>
                <w:sz w:val="13"/>
              </w:rPr>
              <w:t>Comparison</w:t>
            </w:r>
          </w:p>
        </w:tc>
        <w:tc>
          <w:tcPr>
            <w:tcW w:w="965" w:type="dxa"/>
            <w:vAlign w:val="center"/>
            <w:tcMar>
              <w:top w:w="35" w:type="dxa"/>
              <w:start w:w="35" w:type="dxa"/>
              <w:bottom w:w="35" w:type="dxa"/>
              <w:end w:w="35" w:type="dxa"/>
            </w:tcMar>
          </w:tcPr>
          <w:p>
            <w:pPr>
              <w:spacing w:before="0" w:after="0" w:line="240" w:lineRule="auto"/>
              <w:jc w:val="right"/>
            </w:pPr>
            <w:r>
              <w:rPr>
                <w:sz w:val="13"/>
              </w:rPr>
              <w:t>No</w:t>
            </w:r>
          </w:p>
        </w:tc>
        <w:tc>
          <w:tcPr>
            <w:tcW w:w="965" w:type="dxa"/>
            <w:vAlign w:val="center"/>
            <w:tcMar>
              <w:top w:w="35" w:type="dxa"/>
              <w:start w:w="35" w:type="dxa"/>
              <w:bottom w:w="35" w:type="dxa"/>
              <w:end w:w="35" w:type="dxa"/>
            </w:tcMar>
          </w:tcPr>
          <w:p>
            <w:pPr>
              <w:spacing w:before="0" w:after="0" w:line="240" w:lineRule="auto"/>
              <w:jc w:val="right"/>
            </w:pPr>
            <w:r>
              <w:rPr>
                <w:sz w:val="13"/>
              </w:rPr>
              <w:t>0.5852</w:t>
            </w:r>
          </w:p>
        </w:tc>
        <w:tc>
          <w:tcPr>
            <w:tcW w:w="1037" w:type="dxa"/>
            <w:vAlign w:val="center"/>
            <w:tcMar>
              <w:top w:w="35" w:type="dxa"/>
              <w:start w:w="35" w:type="dxa"/>
              <w:bottom w:w="35" w:type="dxa"/>
              <w:end w:w="35" w:type="dxa"/>
            </w:tcMar>
          </w:tcPr>
          <w:p>
            <w:pPr>
              <w:spacing w:before="0" w:after="0" w:line="240" w:lineRule="auto"/>
              <w:jc w:val="right"/>
            </w:pPr>
            <w:r>
              <w:rPr>
                <w:sz w:val="13"/>
              </w:rPr>
              <w:t>0.1176</w:t>
            </w:r>
          </w:p>
        </w:tc>
        <w:tc>
          <w:tcPr>
            <w:tcW w:w="965" w:type="dxa"/>
            <w:vAlign w:val="center"/>
            <w:tcMar>
              <w:top w:w="35" w:type="dxa"/>
              <w:start w:w="35" w:type="dxa"/>
              <w:bottom w:w="35" w:type="dxa"/>
              <w:end w:w="35" w:type="dxa"/>
            </w:tcMar>
          </w:tcPr>
          <w:p>
            <w:pPr>
              <w:spacing w:before="0" w:after="0" w:line="240" w:lineRule="auto"/>
              <w:jc w:val="right"/>
            </w:pPr>
            <w:r>
              <w:rPr>
                <w:sz w:val="13"/>
              </w:rPr>
              <w:t>0.0598</w:t>
            </w:r>
          </w:p>
        </w:tc>
        <w:tc>
          <w:tcPr>
            <w:tcW w:w="965" w:type="dxa"/>
            <w:vAlign w:val="center"/>
            <w:tcMar>
              <w:top w:w="35" w:type="dxa"/>
              <w:start w:w="35" w:type="dxa"/>
              <w:bottom w:w="35" w:type="dxa"/>
              <w:end w:w="35" w:type="dxa"/>
            </w:tcMar>
          </w:tcPr>
          <w:p>
            <w:pPr>
              <w:spacing w:before="0" w:after="0" w:line="240" w:lineRule="auto"/>
              <w:jc w:val="right"/>
            </w:pPr>
            <w:r>
              <w:rPr>
                <w:sz w:val="13"/>
              </w:rPr>
              <w:t>1.32%</w:t>
            </w:r>
          </w:p>
        </w:tc>
        <w:tc>
          <w:tcPr>
            <w:tcW w:w="1037" w:type="dxa"/>
            <w:vAlign w:val="center"/>
            <w:tcMar>
              <w:top w:w="35" w:type="dxa"/>
              <w:start w:w="35" w:type="dxa"/>
              <w:bottom w:w="35" w:type="dxa"/>
              <w:end w:w="35" w:type="dxa"/>
            </w:tcMar>
          </w:tcPr>
          <w:p>
            <w:pPr>
              <w:spacing w:before="0" w:after="0" w:line="240" w:lineRule="auto"/>
              <w:jc w:val="right"/>
            </w:pPr>
            <w:r>
              <w:rPr>
                <w:sz w:val="13"/>
              </w:rPr>
              <w:t>22.22%</w:t>
            </w:r>
          </w:p>
        </w:tc>
      </w:tr>
    </w:tbl>
    <w:p w14:paraId="2448648B" w14:textId="77777777" w:rsidR="00BA041F" w:rsidRDefault="00BA041F"/>
    <w:p w14:paraId="0845EF9B" w14:textId="77777777" w:rsidR="00BA041F" w:rsidRDefault="00000000">
      <w:pPr/>
      <w:r>
        <w:t>The main twelve-month PD model directly estimates whether an active-at-snapshot loan will charge off or default during the next twelve months. Each row represents an account-month snapshot identified by sample_id and snapshot_month, restricted to loans still at risk at that snapshot. Splits are based on snapshot_month rather than issue_date, so the design approximates a bank's recurring monthly production risk file.</w:t>
      </w:r>
    </w:p>
    <w:p w14:paraId="7E05CF3E" w14:textId="77777777" w:rsidR="00BA041F" w:rsidRDefault="00000000">
      <w:pPr/>
      <w:r>
        <w:t>The earlier one-month hazard model is retained as a comparison group and research diagnostic. It converts monthly hazards into cumulative twelve-month PDs by summing log survival terms, but the final twelve-month EL input now comes from the direct active-snapshot XGBoost model because that target is aligned with the intended current-portfolio twelve-month decision horizon.</w:t>
      </w:r>
    </w:p>
    <w:p w14:paraId="3FEC77BB" w14:textId="77777777" w:rsidR="00BA041F" w:rsidRDefault="00000000">
      <w:pPr>
        <w:ind w:firstLine="0"/>
        <w:jc w:val="center"/>
      </w:pPr>
      <w:r>
        <w:t>PD_12m = calibrated direct active-snapshot probability of default within the next twelve months;   PD_life = static HGB calibrated loan-level probability.</w:t>
      </w:r>
    </w:p>
    <w:p w14:paraId="6DBA24A9" w14:textId="77777777" w:rsidR="00BA041F" w:rsidRDefault="00000000">
      <w:pPr>
        <w:pStyle w:val="CaptionAcademic"/>
      </w:pPr>
      <w:r>
        <w:t>Equation (5.1). Direct twelve-month PD and static lifetime PD mapping.</w:t>
      </w:r>
    </w:p>
    <w:p w14:paraId="191D5E89" w14:textId="77777777" w:rsidR="00BA041F" w:rsidRDefault="00000000">
      <w:pPr>
        <w:pStyle w:val="Heading2"/>
        <w:jc w:val="left"/>
      </w:pPr>
      <w:r>
        <w:rPr>
          <w:rFonts w:ascii="Times New Roman" w:hAnsi="Times New Roman"/>
        </w:rPr>
        <w:t>5.2 Loan-Level Expected-Loss Construction</w:t>
      </w:r>
    </w:p>
    <w:p w14:paraId="16C059E8" w14:textId="77777777" w:rsidR="00BA041F" w:rsidRDefault="00000000">
      <w:r>
        <w:t>At the loan level, expected loss is measured as the product of default likelihood, expected severity, and an exposure reference aligned with the analytical scope. For resolved holdout loans, the exposure reference is set equal to original funded principal, so expected loss is interpreted as a fraction of original funded exposure. This convention permits direct comparison with realized net loss after resolution. For active loans, by contrast, expected loss is scaled by current EAD, which reflects the principal that remains outstanding at the snapshot date.</w:t>
      </w:r>
    </w:p>
    <w:p w14:paraId="6C45CC3B" w14:textId="77777777" w:rsidR="00BA041F" w:rsidRDefault="00000000">
      <w:pPr/>
      <w:r>
        <w:t>The distinction between horizons is equally important. Twelve-month expected loss uses calibrated direct active-snapshot predicted_pd_12m, whereas lifetime expected loss uses the rerun original static HistGradientBoosting predicted_pd. This two-model design avoids forcing one specification to serve both short-horizon monitoring and lifetime reserve analytics.</w:t>
      </w:r>
    </w:p>
    <w:p w14:paraId="4CB8E10E" w14:textId="77777777" w:rsidR="00BA041F" w:rsidRDefault="00000000">
      <w:pPr>
        <w:ind w:firstLine="0"/>
        <w:jc w:val="center"/>
      </w:pPr>
      <w:r>
        <w:rPr>
          <w:noProof/>
        </w:rPr>
        <w:drawing>
          <wp:inline distT="0" distB="0" distL="0" distR="0" wp14:anchorId="4637846E" wp14:editId="5AE04BD2">
            <wp:extent cx="4663440" cy="10670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5_1_el_horizons.png"/>
                    <pic:cNvPicPr/>
                  </pic:nvPicPr>
                  <pic:blipFill>
                    <a:blip r:embed="rId15"/>
                    <a:stretch>
                      <a:fillRect/>
                    </a:stretch>
                  </pic:blipFill>
                  <pic:spPr>
                    <a:xfrm>
                      <a:off x="0" y="0"/>
                      <a:ext cx="4663440" cy="1067058"/>
                    </a:xfrm>
                    <a:prstGeom prst="rect">
                      <a:avLst/>
                    </a:prstGeom>
                  </pic:spPr>
                </pic:pic>
              </a:graphicData>
            </a:graphic>
          </wp:inline>
        </w:drawing>
      </w:r>
    </w:p>
    <w:p w14:paraId="6B9EA608" w14:textId="77777777" w:rsidR="00BA041F" w:rsidRDefault="00000000">
      <w:pPr>
        <w:pStyle w:val="CaptionAcademic"/>
      </w:pPr>
      <w:r>
        <w:t>Equation (5.2). Loan-level expected loss under the twelve-month and lifetime horizons.</w:t>
      </w:r>
    </w:p>
    <w:p w14:paraId="405479D7" w14:textId="77777777" w:rsidR="00BA041F" w:rsidRDefault="00000000">
      <w:pPr>
        <w:pStyle w:val="Heading2"/>
        <w:jc w:val="left"/>
      </w:pPr>
      <w:r>
        <w:rPr>
          <w:rFonts w:ascii="Times New Roman" w:hAnsi="Times New Roman"/>
        </w:rPr>
        <w:t>5.3 Portfolio Aggregation and Holdout Comparison</w:t>
      </w:r>
    </w:p>
    <w:p w14:paraId="03D30D64" w14:textId="77777777" w:rsidR="00BA041F" w:rsidRDefault="00000000">
      <w:pPr/>
      <w:r>
        <w:t>Portfolio expected loss is obtained by summing loan-level expected loss across the relevant scope. The resulting summary table highlights two separate use cases. The full observable twelve-month cohort is the primary backtest because it includes loans that default and loans that survive through a complete twelve-month observation window. The resolved-only twelve-month view is retained only as a selection-biased diagnostic, while the active snapshot is interpreted as a reserve-style measure of dollar risk embedded in the currently outstanding loan book.</w:t>
      </w:r>
    </w:p>
    <w:p w14:paraId="52B57877" w14:textId="77777777" w:rsidR="00BA041F" w:rsidRDefault="00000000">
      <w:pPr>
        <w:ind w:firstLine="0"/>
        <w:jc w:val="center"/>
      </w:pPr>
      <w:r>
        <w:rPr>
          <w:noProof/>
        </w:rPr>
        <w:drawing>
          <wp:inline distT="0" distB="0" distL="0" distR="0" wp14:anchorId="69C9ABA7" wp14:editId="78CB02E0">
            <wp:extent cx="4389120" cy="7025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5_2_portfolio_el.png"/>
                    <pic:cNvPicPr/>
                  </pic:nvPicPr>
                  <pic:blipFill>
                    <a:blip r:embed="rId16"/>
                    <a:stretch>
                      <a:fillRect/>
                    </a:stretch>
                  </pic:blipFill>
                  <pic:spPr>
                    <a:xfrm>
                      <a:off x="0" y="0"/>
                      <a:ext cx="4389120" cy="702590"/>
                    </a:xfrm>
                    <a:prstGeom prst="rect">
                      <a:avLst/>
                    </a:prstGeom>
                  </pic:spPr>
                </pic:pic>
              </a:graphicData>
            </a:graphic>
          </wp:inline>
        </w:drawing>
      </w:r>
    </w:p>
    <w:p w14:paraId="16DB3D7B" w14:textId="77777777" w:rsidR="00BA041F" w:rsidRDefault="00000000">
      <w:pPr>
        <w:pStyle w:val="CaptionAcademic"/>
      </w:pPr>
      <w:r>
        <w:t>Equation (5.3). Portfolio aggregation of loan-level expected loss.</w:t>
      </w:r>
    </w:p>
    <w:p w14:paraId="73D25FC3" w14:textId="77777777" w:rsidR="00BA041F" w:rsidRDefault="00000000">
      <w:pPr>
        <w:pStyle w:val="CaptionAcademic"/>
      </w:pPr>
      <w:r>
        <w:t>Table 5.3. Portfolio-level expected-loss results by scope and horizon.</w:t>
      </w:r>
    </w:p>
    <w:tbl>
      <w:tblPr>
        <w:tblStyle w:val="TableGrid"/>
        <w:tblW w:w="0" w:type="auto"/>
        <w:jc w:val="center"/>
        <w:tblLayout w:type="fixed"/>
        <w:tblLook w:val="04A0" w:firstRow="1" w:lastRow="0" w:firstColumn="1" w:lastColumn="0" w:noHBand="0" w:noVBand="1"/>
      </w:tblPr>
      <w:tblGrid>
        <w:gridCol w:w="1302"/>
        <w:gridCol w:w="1178"/>
        <w:gridCol w:w="1027"/>
        <w:gridCol w:w="1122"/>
        <w:gridCol w:w="1080"/>
        <w:gridCol w:w="1273"/>
        <w:gridCol w:w="1297"/>
        <w:gridCol w:w="1297"/>
      </w:tblGrid>
      <w:tr w:rsidR="00BA041F" w14:paraId="231CB35C" w14:textId="77777777">
        <w:trPr>
          <w:jc w:val="center"/>
          <w:cantSplit/>
        </w:trPr>
        <w:tc>
          <w:tcPr>
            <w:tcW w:w="1267" w:type="dxa"/>
            <w:shd w:val="clear" w:color="auto" w:fill="E6E6E6"/>
            <w:vAlign w:val="center"/>
            <w:tcMar>
              <w:top w:w="35" w:type="dxa"/>
              <w:start w:w="35" w:type="dxa"/>
              <w:bottom w:w="35" w:type="dxa"/>
              <w:end w:w="35" w:type="dxa"/>
            </w:tcMar>
          </w:tcPr>
          <w:p w14:paraId="68B0B200" w14:textId="77777777" w:rsidR="00BA041F" w:rsidRDefault="00000000">
            <w:pPr>
              <w:pStyle w:val="TableBodyAcademic"/>
              <w:spacing w:before="0" w:after="0" w:line="240" w:lineRule="auto"/>
              <w:jc w:val="left"/>
            </w:pPr>
            <w:r>
              <w:rPr>
                <w:b/>
                <w:sz w:val="14"/>
              </w:rPr>
              <w:t>Scope</w:t>
            </w:r>
          </w:p>
        </w:tc>
        <w:tc>
          <w:tcPr>
            <w:tcW w:w="1123" w:type="dxa"/>
            <w:shd w:val="clear" w:color="auto" w:fill="E6E6E6"/>
            <w:vAlign w:val="center"/>
            <w:tcMar>
              <w:top w:w="35" w:type="dxa"/>
              <w:start w:w="35" w:type="dxa"/>
              <w:bottom w:w="35" w:type="dxa"/>
              <w:end w:w="35" w:type="dxa"/>
            </w:tcMar>
          </w:tcPr>
          <w:p w14:paraId="5DA99512" w14:textId="77777777" w:rsidR="00BA041F" w:rsidRDefault="00000000">
            <w:pPr>
              <w:pStyle w:val="TableBodyAcademic"/>
              <w:spacing w:before="0" w:after="0" w:line="240" w:lineRule="auto"/>
              <w:jc w:val="left"/>
            </w:pPr>
            <w:r>
              <w:rPr>
                <w:b/>
                <w:sz w:val="14"/>
              </w:rPr>
              <w:t>Forecast horizon</w:t>
            </w:r>
          </w:p>
        </w:tc>
        <w:tc>
          <w:tcPr>
            <w:tcW w:w="1037" w:type="dxa"/>
            <w:shd w:val="clear" w:color="auto" w:fill="E6E6E6"/>
            <w:vAlign w:val="center"/>
            <w:tcMar>
              <w:top w:w="35" w:type="dxa"/>
              <w:start w:w="35" w:type="dxa"/>
              <w:bottom w:w="35" w:type="dxa"/>
              <w:end w:w="35" w:type="dxa"/>
            </w:tcMar>
          </w:tcPr>
          <w:p w14:paraId="4DC8C308" w14:textId="77777777" w:rsidR="00BA041F" w:rsidRDefault="00000000">
            <w:pPr>
              <w:pStyle w:val="TableBodyAcademic"/>
              <w:spacing w:before="0" w:after="0" w:line="240" w:lineRule="auto"/>
              <w:jc w:val="left"/>
            </w:pPr>
            <w:r>
              <w:rPr>
                <w:b/>
                <w:sz w:val="14"/>
              </w:rPr>
              <w:t>Number of loans</w:t>
            </w:r>
          </w:p>
        </w:tc>
        <w:tc>
          <w:tcPr>
            <w:tcW w:w="1008" w:type="dxa"/>
            <w:shd w:val="clear" w:color="auto" w:fill="E6E6E6"/>
            <w:vAlign w:val="center"/>
            <w:tcMar>
              <w:top w:w="35" w:type="dxa"/>
              <w:start w:w="35" w:type="dxa"/>
              <w:bottom w:w="35" w:type="dxa"/>
              <w:end w:w="35" w:type="dxa"/>
            </w:tcMar>
          </w:tcPr>
          <w:p w14:paraId="29EEEE89" w14:textId="77777777" w:rsidR="00BA041F" w:rsidRDefault="00000000">
            <w:pPr>
              <w:pStyle w:val="TableBodyAcademic"/>
              <w:spacing w:before="0" w:after="0" w:line="240" w:lineRule="auto"/>
              <w:jc w:val="left"/>
            </w:pPr>
            <w:r>
              <w:rPr>
                <w:b/>
                <w:sz w:val="14"/>
              </w:rPr>
              <w:t>Average PD (%)</w:t>
            </w:r>
          </w:p>
        </w:tc>
        <w:tc>
          <w:tcPr>
            <w:tcW w:w="1008" w:type="dxa"/>
            <w:shd w:val="clear" w:color="auto" w:fill="E6E6E6"/>
            <w:vAlign w:val="center"/>
            <w:tcMar>
              <w:top w:w="35" w:type="dxa"/>
              <w:start w:w="35" w:type="dxa"/>
              <w:bottom w:w="35" w:type="dxa"/>
              <w:end w:w="35" w:type="dxa"/>
            </w:tcMar>
          </w:tcPr>
          <w:p w14:paraId="4E41D56F" w14:textId="77777777" w:rsidR="00BA041F" w:rsidRDefault="00000000">
            <w:pPr>
              <w:pStyle w:val="TableBodyAcademic"/>
              <w:spacing w:before="0" w:after="0" w:line="240" w:lineRule="auto"/>
              <w:jc w:val="left"/>
            </w:pPr>
            <w:r>
              <w:rPr>
                <w:b/>
                <w:sz w:val="14"/>
              </w:rPr>
              <w:t>Average LGD (%)</w:t>
            </w:r>
          </w:p>
        </w:tc>
        <w:tc>
          <w:tcPr>
            <w:tcW w:w="1238" w:type="dxa"/>
            <w:shd w:val="clear" w:color="auto" w:fill="E6E6E6"/>
            <w:vAlign w:val="center"/>
            <w:tcMar>
              <w:top w:w="35" w:type="dxa"/>
              <w:start w:w="35" w:type="dxa"/>
              <w:bottom w:w="35" w:type="dxa"/>
              <w:end w:w="35" w:type="dxa"/>
            </w:tcMar>
          </w:tcPr>
          <w:p w14:paraId="4EA5F118" w14:textId="77777777" w:rsidR="00BA041F" w:rsidRDefault="00000000">
            <w:pPr>
              <w:pStyle w:val="TableBodyAcademic"/>
              <w:spacing w:before="0" w:after="0" w:line="240" w:lineRule="auto"/>
              <w:jc w:val="left"/>
            </w:pPr>
            <w:r>
              <w:rPr>
                <w:b/>
                <w:sz w:val="14"/>
              </w:rPr>
              <w:t>Average EAD</w:t>
            </w:r>
          </w:p>
        </w:tc>
        <w:tc>
          <w:tcPr>
            <w:tcW w:w="1181" w:type="dxa"/>
            <w:shd w:val="clear" w:color="auto" w:fill="E6E6E6"/>
            <w:vAlign w:val="center"/>
            <w:tcMar>
              <w:top w:w="35" w:type="dxa"/>
              <w:start w:w="35" w:type="dxa"/>
              <w:bottom w:w="35" w:type="dxa"/>
              <w:end w:w="35" w:type="dxa"/>
            </w:tcMar>
          </w:tcPr>
          <w:p w14:paraId="4F1F0387" w14:textId="77777777" w:rsidR="00BA041F" w:rsidRDefault="00000000">
            <w:pPr>
              <w:pStyle w:val="TableBodyAcademic"/>
              <w:spacing w:before="0" w:after="0" w:line="240" w:lineRule="auto"/>
              <w:jc w:val="left"/>
            </w:pPr>
            <w:r>
              <w:rPr>
                <w:b/>
                <w:sz w:val="14"/>
              </w:rPr>
              <w:t>Total EL</w:t>
            </w:r>
          </w:p>
        </w:tc>
        <w:tc>
          <w:tcPr>
            <w:tcW w:w="1325" w:type="dxa"/>
            <w:shd w:val="clear" w:color="auto" w:fill="E6E6E6"/>
            <w:vAlign w:val="center"/>
            <w:tcMar>
              <w:top w:w="35" w:type="dxa"/>
              <w:start w:w="35" w:type="dxa"/>
              <w:bottom w:w="35" w:type="dxa"/>
              <w:end w:w="35" w:type="dxa"/>
            </w:tcMar>
          </w:tcPr>
          <w:p w14:paraId="73D73BC4" w14:textId="77777777" w:rsidR="00BA041F" w:rsidRDefault="00000000">
            <w:pPr>
              <w:pStyle w:val="TableBodyAcademic"/>
              <w:spacing w:before="0" w:after="0" w:line="240" w:lineRule="auto"/>
              <w:jc w:val="left"/>
            </w:pPr>
            <w:r>
              <w:rPr>
                <w:b/>
                <w:sz w:val="14"/>
              </w:rPr>
              <w:t>Actual net loss</w:t>
            </w:r>
          </w:p>
        </w:tc>
      </w:tr>
      <w:tr w:rsidR="00BA041F" w14:paraId="314185D6" w14:textId="77777777">
        <w:trPr>
          <w:jc w:val="center"/>
          <w:cantSplit/>
        </w:trPr>
        <w:tc>
          <w:tcPr>
            <w:tcW w:w="1267" w:type="dxa"/>
            <w:vAlign w:val="center"/>
            <w:tcMar>
              <w:top w:w="35" w:type="dxa"/>
              <w:start w:w="35" w:type="dxa"/>
              <w:bottom w:w="35" w:type="dxa"/>
              <w:end w:w="35" w:type="dxa"/>
            </w:tcMar>
          </w:tcPr>
          <w:p>
            <w:pPr>
              <w:spacing w:before="0" w:after="0" w:line="240" w:lineRule="auto"/>
              <w:jc w:val="left"/>
            </w:pPr>
            <w:r>
              <w:rPr>
                <w:sz w:val="14"/>
              </w:rPr>
              <w:t>Full 12M cohort</w:t>
            </w:r>
          </w:p>
        </w:tc>
        <w:tc>
          <w:tcPr>
            <w:tcW w:w="1123" w:type="dxa"/>
            <w:vAlign w:val="center"/>
            <w:tcMar>
              <w:top w:w="35" w:type="dxa"/>
              <w:start w:w="35" w:type="dxa"/>
              <w:bottom w:w="35" w:type="dxa"/>
              <w:end w:w="35" w:type="dxa"/>
            </w:tcMar>
          </w:tcPr>
          <w:p>
            <w:pPr>
              <w:spacing w:before="0" w:after="0" w:line="240" w:lineRule="auto"/>
              <w:jc w:val="right"/>
            </w:pPr>
            <w:r>
              <w:rPr>
                <w:sz w:val="14"/>
              </w:rPr>
              <w:t>12-month</w:t>
            </w:r>
          </w:p>
        </w:tc>
        <w:tc>
          <w:tcPr>
            <w:tcW w:w="1037" w:type="dxa"/>
            <w:vAlign w:val="center"/>
            <w:tcMar>
              <w:top w:w="35" w:type="dxa"/>
              <w:start w:w="35" w:type="dxa"/>
              <w:bottom w:w="35" w:type="dxa"/>
              <w:end w:w="35" w:type="dxa"/>
            </w:tcMar>
          </w:tcPr>
          <w:p>
            <w:pPr>
              <w:spacing w:before="0" w:after="0" w:line="240" w:lineRule="auto"/>
              <w:jc w:val="right"/>
            </w:pPr>
            <w:r>
              <w:rPr>
                <w:sz w:val="14"/>
              </w:rPr>
              <w:t>443,579</w:t>
            </w:r>
          </w:p>
        </w:tc>
        <w:tc>
          <w:tcPr>
            <w:tcW w:w="1008" w:type="dxa"/>
            <w:vAlign w:val="center"/>
            <w:tcMar>
              <w:top w:w="35" w:type="dxa"/>
              <w:start w:w="35" w:type="dxa"/>
              <w:bottom w:w="35" w:type="dxa"/>
              <w:end w:w="35" w:type="dxa"/>
            </w:tcMar>
          </w:tcPr>
          <w:p>
            <w:pPr>
              <w:spacing w:before="0" w:after="0" w:line="240" w:lineRule="auto"/>
              <w:jc w:val="right"/>
            </w:pPr>
            <w:r>
              <w:rPr>
                <w:sz w:val="14"/>
              </w:rPr>
              <w:t>7.95</w:t>
            </w:r>
          </w:p>
        </w:tc>
        <w:tc>
          <w:tcPr>
            <w:tcW w:w="1008" w:type="dxa"/>
            <w:vAlign w:val="center"/>
            <w:tcMar>
              <w:top w:w="35" w:type="dxa"/>
              <w:start w:w="35" w:type="dxa"/>
              <w:bottom w:w="35" w:type="dxa"/>
              <w:end w:w="35" w:type="dxa"/>
            </w:tcMar>
          </w:tcPr>
          <w:p>
            <w:pPr>
              <w:spacing w:before="0" w:after="0" w:line="240" w:lineRule="auto"/>
              <w:jc w:val="right"/>
            </w:pPr>
            <w:r>
              <w:rPr>
                <w:sz w:val="14"/>
              </w:rPr>
              <w:t>90.17</w:t>
            </w:r>
          </w:p>
        </w:tc>
        <w:tc>
          <w:tcPr>
            <w:tcW w:w="1238" w:type="dxa"/>
            <w:vAlign w:val="center"/>
            <w:tcMar>
              <w:top w:w="35" w:type="dxa"/>
              <w:start w:w="35" w:type="dxa"/>
              <w:bottom w:w="35" w:type="dxa"/>
              <w:end w:w="35" w:type="dxa"/>
            </w:tcMar>
          </w:tcPr>
          <w:p>
            <w:pPr>
              <w:spacing w:before="0" w:after="0" w:line="240" w:lineRule="auto"/>
              <w:jc w:val="right"/>
            </w:pPr>
            <w:r>
              <w:rPr>
                <w:sz w:val="14"/>
              </w:rPr>
              <w:t>$14,845</w:t>
            </w:r>
          </w:p>
        </w:tc>
        <w:tc>
          <w:tcPr>
            <w:tcW w:w="1181" w:type="dxa"/>
            <w:vAlign w:val="center"/>
            <w:tcMar>
              <w:top w:w="35" w:type="dxa"/>
              <w:start w:w="35" w:type="dxa"/>
              <w:bottom w:w="35" w:type="dxa"/>
              <w:end w:w="35" w:type="dxa"/>
            </w:tcMar>
          </w:tcPr>
          <w:p>
            <w:pPr>
              <w:spacing w:before="0" w:after="0" w:line="240" w:lineRule="auto"/>
              <w:jc w:val="right"/>
            </w:pPr>
            <w:r>
              <w:rPr>
                <w:sz w:val="14"/>
              </w:rPr>
              <w:t>$499.5M</w:t>
            </w:r>
          </w:p>
        </w:tc>
        <w:tc>
          <w:tcPr>
            <w:tcW w:w="1325" w:type="dxa"/>
            <w:vAlign w:val="center"/>
            <w:tcMar>
              <w:top w:w="35" w:type="dxa"/>
              <w:start w:w="35" w:type="dxa"/>
              <w:bottom w:w="35" w:type="dxa"/>
              <w:end w:w="35" w:type="dxa"/>
            </w:tcMar>
          </w:tcPr>
          <w:p>
            <w:pPr>
              <w:spacing w:before="0" w:after="0" w:line="240" w:lineRule="auto"/>
              <w:jc w:val="right"/>
            </w:pPr>
            <w:r>
              <w:rPr>
                <w:sz w:val="14"/>
              </w:rPr>
              <w:t>$350.4M</w:t>
            </w:r>
          </w:p>
        </w:tc>
      </w:tr>
      <w:tr w:rsidR="00BA041F" w14:paraId="7E7C52EB" w14:textId="77777777">
        <w:trPr>
          <w:jc w:val="center"/>
          <w:cantSplit/>
        </w:trPr>
        <w:tc>
          <w:tcPr>
            <w:tcW w:w="1267" w:type="dxa"/>
            <w:vAlign w:val="center"/>
            <w:tcMar>
              <w:top w:w="35" w:type="dxa"/>
              <w:start w:w="35" w:type="dxa"/>
              <w:bottom w:w="35" w:type="dxa"/>
              <w:end w:w="35" w:type="dxa"/>
            </w:tcMar>
          </w:tcPr>
          <w:p>
            <w:pPr>
              <w:spacing w:before="0" w:after="0" w:line="240" w:lineRule="auto"/>
              <w:jc w:val="left"/>
            </w:pPr>
            <w:r>
              <w:rPr>
                <w:sz w:val="14"/>
              </w:rPr>
              <w:t>Resolved holdout</w:t>
            </w:r>
          </w:p>
        </w:tc>
        <w:tc>
          <w:tcPr>
            <w:tcW w:w="1123" w:type="dxa"/>
            <w:vAlign w:val="center"/>
            <w:tcMar>
              <w:top w:w="35" w:type="dxa"/>
              <w:start w:w="35" w:type="dxa"/>
              <w:bottom w:w="35" w:type="dxa"/>
              <w:end w:w="35" w:type="dxa"/>
            </w:tcMar>
          </w:tcPr>
          <w:p>
            <w:pPr>
              <w:spacing w:before="0" w:after="0" w:line="240" w:lineRule="auto"/>
              <w:jc w:val="right"/>
            </w:pPr>
            <w:r>
              <w:rPr>
                <w:sz w:val="14"/>
              </w:rPr>
              <w:t>Lifetime</w:t>
            </w:r>
          </w:p>
        </w:tc>
        <w:tc>
          <w:tcPr>
            <w:tcW w:w="1037" w:type="dxa"/>
            <w:vAlign w:val="center"/>
            <w:tcMar>
              <w:top w:w="35" w:type="dxa"/>
              <w:start w:w="35" w:type="dxa"/>
              <w:bottom w:w="35" w:type="dxa"/>
              <w:end w:w="35" w:type="dxa"/>
            </w:tcMar>
          </w:tcPr>
          <w:p>
            <w:pPr>
              <w:spacing w:before="0" w:after="0" w:line="240" w:lineRule="auto"/>
              <w:jc w:val="right"/>
            </w:pPr>
            <w:r>
              <w:rPr>
                <w:sz w:val="14"/>
              </w:rPr>
              <w:t>225,611</w:t>
            </w:r>
          </w:p>
        </w:tc>
        <w:tc>
          <w:tcPr>
            <w:tcW w:w="1008" w:type="dxa"/>
            <w:vAlign w:val="center"/>
            <w:tcMar>
              <w:top w:w="35" w:type="dxa"/>
              <w:start w:w="35" w:type="dxa"/>
              <w:bottom w:w="35" w:type="dxa"/>
              <w:end w:w="35" w:type="dxa"/>
            </w:tcMar>
          </w:tcPr>
          <w:p>
            <w:pPr>
              <w:spacing w:before="0" w:after="0" w:line="240" w:lineRule="auto"/>
              <w:jc w:val="right"/>
            </w:pPr>
            <w:r>
              <w:rPr>
                <w:sz w:val="14"/>
              </w:rPr>
              <w:t>26.13</w:t>
            </w:r>
          </w:p>
        </w:tc>
        <w:tc>
          <w:tcPr>
            <w:tcW w:w="1008" w:type="dxa"/>
            <w:vAlign w:val="center"/>
            <w:tcMar>
              <w:top w:w="35" w:type="dxa"/>
              <w:start w:w="35" w:type="dxa"/>
              <w:bottom w:w="35" w:type="dxa"/>
              <w:end w:w="35" w:type="dxa"/>
            </w:tcMar>
          </w:tcPr>
          <w:p>
            <w:pPr>
              <w:spacing w:before="0" w:after="0" w:line="240" w:lineRule="auto"/>
              <w:jc w:val="right"/>
            </w:pPr>
            <w:r>
              <w:rPr>
                <w:sz w:val="14"/>
              </w:rPr>
              <w:t>90.11</w:t>
            </w:r>
          </w:p>
        </w:tc>
        <w:tc>
          <w:tcPr>
            <w:tcW w:w="1238" w:type="dxa"/>
            <w:vAlign w:val="center"/>
            <w:tcMar>
              <w:top w:w="35" w:type="dxa"/>
              <w:start w:w="35" w:type="dxa"/>
              <w:bottom w:w="35" w:type="dxa"/>
              <w:end w:w="35" w:type="dxa"/>
            </w:tcMar>
          </w:tcPr>
          <w:p>
            <w:pPr>
              <w:spacing w:before="0" w:after="0" w:line="240" w:lineRule="auto"/>
              <w:jc w:val="right"/>
            </w:pPr>
            <w:r>
              <w:rPr>
                <w:sz w:val="14"/>
              </w:rPr>
              <w:t>$14,446</w:t>
            </w:r>
          </w:p>
        </w:tc>
        <w:tc>
          <w:tcPr>
            <w:tcW w:w="1181" w:type="dxa"/>
            <w:vAlign w:val="center"/>
            <w:tcMar>
              <w:top w:w="35" w:type="dxa"/>
              <w:start w:w="35" w:type="dxa"/>
              <w:bottom w:w="35" w:type="dxa"/>
              <w:end w:w="35" w:type="dxa"/>
            </w:tcMar>
          </w:tcPr>
          <w:p>
            <w:pPr>
              <w:spacing w:before="0" w:after="0" w:line="240" w:lineRule="auto"/>
              <w:jc w:val="right"/>
            </w:pPr>
            <w:r>
              <w:rPr>
                <w:sz w:val="14"/>
              </w:rPr>
              <w:t>$840.6M</w:t>
            </w:r>
          </w:p>
        </w:tc>
        <w:tc>
          <w:tcPr>
            <w:tcW w:w="1325" w:type="dxa"/>
            <w:vAlign w:val="center"/>
            <w:tcMar>
              <w:top w:w="35" w:type="dxa"/>
              <w:start w:w="35" w:type="dxa"/>
              <w:bottom w:w="35" w:type="dxa"/>
              <w:end w:w="35" w:type="dxa"/>
            </w:tcMar>
          </w:tcPr>
          <w:p>
            <w:pPr>
              <w:spacing w:before="0" w:after="0" w:line="240" w:lineRule="auto"/>
              <w:jc w:val="right"/>
            </w:pPr>
            <w:r>
              <w:rPr>
                <w:sz w:val="14"/>
              </w:rPr>
              <w:t>$616.3M</w:t>
            </w:r>
          </w:p>
        </w:tc>
      </w:tr>
      <w:tr w:rsidR="00BA041F" w14:paraId="66D75BAE" w14:textId="77777777">
        <w:trPr>
          <w:jc w:val="center"/>
          <w:cantSplit/>
        </w:trPr>
        <w:tc>
          <w:tcPr>
            <w:tcW w:w="1267" w:type="dxa"/>
            <w:vAlign w:val="center"/>
            <w:tcMar>
              <w:top w:w="35" w:type="dxa"/>
              <w:start w:w="35" w:type="dxa"/>
              <w:bottom w:w="35" w:type="dxa"/>
              <w:end w:w="35" w:type="dxa"/>
            </w:tcMar>
          </w:tcPr>
          <w:p>
            <w:pPr>
              <w:spacing w:before="0" w:after="0" w:line="240" w:lineRule="auto"/>
              <w:jc w:val="left"/>
            </w:pPr>
            <w:r>
              <w:rPr>
                <w:sz w:val="14"/>
              </w:rPr>
              <w:t>Active snapshot</w:t>
            </w:r>
          </w:p>
        </w:tc>
        <w:tc>
          <w:tcPr>
            <w:tcW w:w="1123" w:type="dxa"/>
            <w:vAlign w:val="center"/>
            <w:tcMar>
              <w:top w:w="35" w:type="dxa"/>
              <w:start w:w="35" w:type="dxa"/>
              <w:bottom w:w="35" w:type="dxa"/>
              <w:end w:w="35" w:type="dxa"/>
            </w:tcMar>
          </w:tcPr>
          <w:p>
            <w:pPr>
              <w:spacing w:before="0" w:after="0" w:line="240" w:lineRule="auto"/>
              <w:jc w:val="right"/>
            </w:pPr>
            <w:r>
              <w:rPr>
                <w:sz w:val="14"/>
              </w:rPr>
              <w:t>12-month</w:t>
            </w:r>
          </w:p>
        </w:tc>
        <w:tc>
          <w:tcPr>
            <w:tcW w:w="1037" w:type="dxa"/>
            <w:vAlign w:val="center"/>
            <w:tcMar>
              <w:top w:w="35" w:type="dxa"/>
              <w:start w:w="35" w:type="dxa"/>
              <w:bottom w:w="35" w:type="dxa"/>
              <w:end w:w="35" w:type="dxa"/>
            </w:tcMar>
          </w:tcPr>
          <w:p>
            <w:pPr>
              <w:spacing w:before="0" w:after="0" w:line="240" w:lineRule="auto"/>
              <w:jc w:val="right"/>
            </w:pPr>
            <w:r>
              <w:rPr>
                <w:sz w:val="14"/>
              </w:rPr>
              <w:t>912,609</w:t>
            </w:r>
          </w:p>
        </w:tc>
        <w:tc>
          <w:tcPr>
            <w:tcW w:w="1008" w:type="dxa"/>
            <w:vAlign w:val="center"/>
            <w:tcMar>
              <w:top w:w="35" w:type="dxa"/>
              <w:start w:w="35" w:type="dxa"/>
              <w:bottom w:w="35" w:type="dxa"/>
              <w:end w:w="35" w:type="dxa"/>
            </w:tcMar>
          </w:tcPr>
          <w:p>
            <w:pPr>
              <w:spacing w:before="0" w:after="0" w:line="240" w:lineRule="auto"/>
              <w:jc w:val="right"/>
            </w:pPr>
            <w:r>
              <w:rPr>
                <w:sz w:val="14"/>
              </w:rPr>
              <w:t>8.56</w:t>
            </w:r>
          </w:p>
        </w:tc>
        <w:tc>
          <w:tcPr>
            <w:tcW w:w="1008" w:type="dxa"/>
            <w:vAlign w:val="center"/>
            <w:tcMar>
              <w:top w:w="35" w:type="dxa"/>
              <w:start w:w="35" w:type="dxa"/>
              <w:bottom w:w="35" w:type="dxa"/>
              <w:end w:w="35" w:type="dxa"/>
            </w:tcMar>
          </w:tcPr>
          <w:p>
            <w:pPr>
              <w:spacing w:before="0" w:after="0" w:line="240" w:lineRule="auto"/>
              <w:jc w:val="right"/>
            </w:pPr>
            <w:r>
              <w:rPr>
                <w:sz w:val="14"/>
              </w:rPr>
              <w:t>90.48</w:t>
            </w:r>
          </w:p>
        </w:tc>
        <w:tc>
          <w:tcPr>
            <w:tcW w:w="1238" w:type="dxa"/>
            <w:vAlign w:val="center"/>
            <w:tcMar>
              <w:top w:w="35" w:type="dxa"/>
              <w:start w:w="35" w:type="dxa"/>
              <w:bottom w:w="35" w:type="dxa"/>
              <w:end w:w="35" w:type="dxa"/>
            </w:tcMar>
          </w:tcPr>
          <w:p>
            <w:pPr>
              <w:spacing w:before="0" w:after="0" w:line="240" w:lineRule="auto"/>
              <w:jc w:val="right"/>
            </w:pPr>
            <w:r>
              <w:rPr>
                <w:sz w:val="14"/>
              </w:rPr>
              <w:t>$10,468</w:t>
            </w:r>
          </w:p>
        </w:tc>
        <w:tc>
          <w:tcPr>
            <w:tcW w:w="1181" w:type="dxa"/>
            <w:vAlign w:val="center"/>
            <w:tcMar>
              <w:top w:w="35" w:type="dxa"/>
              <w:start w:w="35" w:type="dxa"/>
              <w:bottom w:w="35" w:type="dxa"/>
              <w:end w:w="35" w:type="dxa"/>
            </w:tcMar>
          </w:tcPr>
          <w:p>
            <w:pPr>
              <w:spacing w:before="0" w:after="0" w:line="240" w:lineRule="auto"/>
              <w:jc w:val="right"/>
            </w:pPr>
            <w:r>
              <w:rPr>
                <w:sz w:val="14"/>
              </w:rPr>
              <w:t>$777.3M</w:t>
            </w:r>
          </w:p>
        </w:tc>
        <w:tc>
          <w:tcPr>
            <w:tcW w:w="1325" w:type="dxa"/>
            <w:vAlign w:val="center"/>
            <w:tcMar>
              <w:top w:w="35" w:type="dxa"/>
              <w:start w:w="35" w:type="dxa"/>
              <w:bottom w:w="35" w:type="dxa"/>
              <w:end w:w="35" w:type="dxa"/>
            </w:tcMar>
          </w:tcPr>
          <w:p>
            <w:pPr>
              <w:spacing w:before="0" w:after="0" w:line="240" w:lineRule="auto"/>
              <w:jc w:val="right"/>
            </w:pPr>
            <w:r>
              <w:rPr>
                <w:sz w:val="14"/>
              </w:rPr>
            </w:r>
          </w:p>
        </w:tc>
      </w:tr>
      <w:tr w:rsidR="00BA041F" w14:paraId="62C3F0EF" w14:textId="77777777">
        <w:trPr>
          <w:jc w:val="center"/>
          <w:cantSplit/>
        </w:trPr>
        <w:tc>
          <w:tcPr>
            <w:tcW w:w="1267" w:type="dxa"/>
            <w:vAlign w:val="center"/>
            <w:tcMar>
              <w:top w:w="35" w:type="dxa"/>
              <w:start w:w="35" w:type="dxa"/>
              <w:bottom w:w="35" w:type="dxa"/>
              <w:end w:w="35" w:type="dxa"/>
            </w:tcMar>
          </w:tcPr>
          <w:p>
            <w:pPr>
              <w:spacing w:before="0" w:after="0" w:line="240" w:lineRule="auto"/>
              <w:jc w:val="left"/>
            </w:pPr>
            <w:r>
              <w:rPr>
                <w:sz w:val="14"/>
              </w:rPr>
              <w:t>Active snapshot</w:t>
            </w:r>
          </w:p>
        </w:tc>
        <w:tc>
          <w:tcPr>
            <w:tcW w:w="1123" w:type="dxa"/>
            <w:vAlign w:val="center"/>
            <w:tcMar>
              <w:top w:w="35" w:type="dxa"/>
              <w:start w:w="35" w:type="dxa"/>
              <w:bottom w:w="35" w:type="dxa"/>
              <w:end w:w="35" w:type="dxa"/>
            </w:tcMar>
          </w:tcPr>
          <w:p>
            <w:pPr>
              <w:spacing w:before="0" w:after="0" w:line="240" w:lineRule="auto"/>
              <w:jc w:val="right"/>
            </w:pPr>
            <w:r>
              <w:rPr>
                <w:sz w:val="14"/>
              </w:rPr>
              <w:t>Lifetime</w:t>
            </w:r>
          </w:p>
        </w:tc>
        <w:tc>
          <w:tcPr>
            <w:tcW w:w="1037" w:type="dxa"/>
            <w:vAlign w:val="center"/>
            <w:tcMar>
              <w:top w:w="35" w:type="dxa"/>
              <w:start w:w="35" w:type="dxa"/>
              <w:bottom w:w="35" w:type="dxa"/>
              <w:end w:w="35" w:type="dxa"/>
            </w:tcMar>
          </w:tcPr>
          <w:p>
            <w:pPr>
              <w:spacing w:before="0" w:after="0" w:line="240" w:lineRule="auto"/>
              <w:jc w:val="right"/>
            </w:pPr>
            <w:r>
              <w:rPr>
                <w:sz w:val="14"/>
              </w:rPr>
              <w:t>912,609</w:t>
            </w:r>
          </w:p>
        </w:tc>
        <w:tc>
          <w:tcPr>
            <w:tcW w:w="1008" w:type="dxa"/>
            <w:vAlign w:val="center"/>
            <w:tcMar>
              <w:top w:w="35" w:type="dxa"/>
              <w:start w:w="35" w:type="dxa"/>
              <w:bottom w:w="35" w:type="dxa"/>
              <w:end w:w="35" w:type="dxa"/>
            </w:tcMar>
          </w:tcPr>
          <w:p>
            <w:pPr>
              <w:spacing w:before="0" w:after="0" w:line="240" w:lineRule="auto"/>
              <w:jc w:val="right"/>
            </w:pPr>
            <w:r>
              <w:rPr>
                <w:sz w:val="14"/>
              </w:rPr>
              <w:t>26.13</w:t>
            </w:r>
          </w:p>
        </w:tc>
        <w:tc>
          <w:tcPr>
            <w:tcW w:w="1008" w:type="dxa"/>
            <w:vAlign w:val="center"/>
            <w:tcMar>
              <w:top w:w="35" w:type="dxa"/>
              <w:start w:w="35" w:type="dxa"/>
              <w:bottom w:w="35" w:type="dxa"/>
              <w:end w:w="35" w:type="dxa"/>
            </w:tcMar>
          </w:tcPr>
          <w:p>
            <w:pPr>
              <w:spacing w:before="0" w:after="0" w:line="240" w:lineRule="auto"/>
              <w:jc w:val="right"/>
            </w:pPr>
            <w:r>
              <w:rPr>
                <w:sz w:val="14"/>
              </w:rPr>
              <w:t>90.48</w:t>
            </w:r>
          </w:p>
        </w:tc>
        <w:tc>
          <w:tcPr>
            <w:tcW w:w="1238" w:type="dxa"/>
            <w:vAlign w:val="center"/>
            <w:tcMar>
              <w:top w:w="35" w:type="dxa"/>
              <w:start w:w="35" w:type="dxa"/>
              <w:bottom w:w="35" w:type="dxa"/>
              <w:end w:w="35" w:type="dxa"/>
            </w:tcMar>
          </w:tcPr>
          <w:p>
            <w:pPr>
              <w:spacing w:before="0" w:after="0" w:line="240" w:lineRule="auto"/>
              <w:jc w:val="right"/>
            </w:pPr>
            <w:r>
              <w:rPr>
                <w:sz w:val="14"/>
              </w:rPr>
              <w:t>$10,468</w:t>
            </w:r>
          </w:p>
        </w:tc>
        <w:tc>
          <w:tcPr>
            <w:tcW w:w="1181" w:type="dxa"/>
            <w:vAlign w:val="center"/>
            <w:tcMar>
              <w:top w:w="35" w:type="dxa"/>
              <w:start w:w="35" w:type="dxa"/>
              <w:bottom w:w="35" w:type="dxa"/>
              <w:end w:w="35" w:type="dxa"/>
            </w:tcMar>
          </w:tcPr>
          <w:p>
            <w:pPr>
              <w:spacing w:before="0" w:after="0" w:line="240" w:lineRule="auto"/>
              <w:jc w:val="right"/>
            </w:pPr>
            <w:r>
              <w:rPr>
                <w:sz w:val="14"/>
              </w:rPr>
              <w:t>$2.456B</w:t>
            </w:r>
          </w:p>
        </w:tc>
        <w:tc>
          <w:tcPr>
            <w:tcW w:w="1325" w:type="dxa"/>
            <w:vAlign w:val="center"/>
            <w:tcMar>
              <w:top w:w="35" w:type="dxa"/>
              <w:start w:w="35" w:type="dxa"/>
              <w:bottom w:w="35" w:type="dxa"/>
              <w:end w:w="35" w:type="dxa"/>
            </w:tcMar>
          </w:tcPr>
          <w:p>
            <w:pPr>
              <w:spacing w:before="0" w:after="0" w:line="240" w:lineRule="auto"/>
              <w:jc w:val="right"/>
            </w:pPr>
            <w:r>
              <w:rPr>
                <w:sz w:val="14"/>
              </w:rPr>
            </w:r>
          </w:p>
        </w:tc>
      </w:tr>
    </w:tbl>
    <w:p w14:paraId="11FEDFC3" w14:textId="77777777" w:rsidR="00BA041F" w:rsidRDefault="00BA041F"/>
    <w:p w14:paraId="79DAF4A2" w14:textId="77777777" w:rsidR="00BA041F" w:rsidRDefault="00000000">
      <w:pPr/>
      <w:r>
        <w:t>On the full observable twelve-month cohort, the model-implied expected loss equals $499.5M, whereas realized twelve-month net loss equals $350.4M. The conservative overlay therefore makes expected loss exceed realized loss by $149.1M, and the expected-loss coverage ratio is 142.53% of realized twelve-month loss. The resolved-only twelve-month comparison is retained as a diagnostic because that subset excludes surviving active loans and therefore overstates default intensity.</w:t>
      </w:r>
    </w:p>
    <w:p w14:paraId="5FE7DEEA" w14:textId="77777777" w:rsidR="00BA041F" w:rsidRDefault="00000000">
      <w:pPr/>
      <w:r>
        <w:t>For the active snapshot, the reported twelve-month EL equals $777.3M, while the lifetime reserve-style EL equals $2.456B. The lifetime result is based on the static HGB model and is higher because its average lifetime PD (26.13%) exceeds the average direct twelve-month PD (8.56%).</w:t>
      </w:r>
    </w:p>
    <w:p w14:paraId="5D5F9EC8" w14:textId="77777777" w:rsidR="00BA041F" w:rsidRDefault="00000000">
      <w:r>
        <w:t>Figure 5.1 reports portfolio expected loss in both dollar and normalized terms, separating the resolved holdout from the active reserve snapshot.</w:t>
      </w:r>
    </w:p>
    <w:p w14:paraId="385B4E73" w14:textId="77777777" w:rsidR="00BA041F" w:rsidRDefault="00000000">
      <w:pPr>
        <w:ind w:firstLine="0"/>
        <w:jc w:val="center"/>
      </w:pPr>
      <w:r>
        <w:rPr>
          <w:noProof/>
        </w:rPr>
        <w:lastRenderedPageBreak/>
        <w:drawing>
          <wp:inline distT="0" distB="0" distL="0" distR="0" wp14:anchorId="1F3A4A15" wp14:editId="1A38C11A">
            <wp:extent cx="5303520" cy="22468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folio_el_comparison.png"/>
                    <pic:cNvPicPr/>
                  </pic:nvPicPr>
                  <pic:blipFill>
                    <a:blip r:embed="rId17"/>
                    <a:stretch>
                      <a:fillRect/>
                    </a:stretch>
                  </pic:blipFill>
                  <pic:spPr>
                    <a:xfrm>
                      <a:off x="0" y="0"/>
                      <a:ext cx="5303520" cy="2246895"/>
                    </a:xfrm>
                    <a:prstGeom prst="rect">
                      <a:avLst/>
                    </a:prstGeom>
                  </pic:spPr>
                </pic:pic>
              </a:graphicData>
            </a:graphic>
          </wp:inline>
        </w:drawing>
      </w:r>
    </w:p>
    <w:p w14:paraId="21DD6BEB" w14:textId="77777777" w:rsidR="00BA041F" w:rsidRDefault="00000000">
      <w:pPr>
        <w:pStyle w:val="CaptionAcademic"/>
      </w:pPr>
      <w:r>
        <w:t>Figure 5.1. Portfolio expected loss by scope, horizon, and normalization basis.</w:t>
      </w:r>
    </w:p>
    <w:p w14:paraId="4681DD8E" w14:textId="77777777" w:rsidR="00BA041F" w:rsidRDefault="00000000">
      <w:r>
        <w:t>The figure highlights two distinct points. First, the active portfolio is larger in aggregate dollars, so absolute expected loss naturally exceeds the resolved holdout. Second, normalized expected loss behaves differently from absolute totals; the resolved holdout exhibits a higher expected-loss rate than the active snapshot, even though the active portfolio contributes more aggregate dollar risk. That distinction is central to portfolio management because balance size and risk intensity are not the same object.</w:t>
      </w:r>
    </w:p>
    <w:p w14:paraId="7F1D597D" w14:textId="77777777" w:rsidR="00BA041F" w:rsidRDefault="00000000">
      <w:pPr/>
      <w:r>
        <w:t>Figure 5.2 reports expected and realized loss separately for the full observable twelve-month cohort and the resolved lifetime diagnostic.</w:t>
      </w:r>
    </w:p>
    <w:p w14:paraId="23FF0680" w14:textId="77777777" w:rsidR="00BA041F" w:rsidRDefault="00000000">
      <w:pPr>
        <w:ind w:firstLine="0"/>
        <w:jc w:val="center"/>
      </w:pPr>
      <w:r>
        <w:rPr>
          <w:noProof/>
        </w:rPr>
        <w:drawing>
          <wp:inline distT="0" distB="0" distL="0" distR="0" wp14:anchorId="0E54C223" wp14:editId="64A87B53">
            <wp:extent cx="5303520" cy="22339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ed_vs_actual_loss.png"/>
                    <pic:cNvPicPr/>
                  </pic:nvPicPr>
                  <pic:blipFill>
                    <a:blip r:embed="rId18"/>
                    <a:stretch>
                      <a:fillRect/>
                    </a:stretch>
                  </pic:blipFill>
                  <pic:spPr>
                    <a:xfrm>
                      <a:off x="0" y="0"/>
                      <a:ext cx="5303520" cy="2233915"/>
                    </a:xfrm>
                    <a:prstGeom prst="rect">
                      <a:avLst/>
                    </a:prstGeom>
                  </pic:spPr>
                </pic:pic>
              </a:graphicData>
            </a:graphic>
          </wp:inline>
        </w:drawing>
      </w:r>
    </w:p>
    <w:p w14:paraId="09A91A2B" w14:textId="77777777" w:rsidR="00BA041F" w:rsidRDefault="00000000">
      <w:pPr>
        <w:pStyle w:val="CaptionAcademic"/>
      </w:pPr>
      <w:r>
        <w:t>Figure 5.2. Expected and realized loss by horizon under the dual-PD framework.</w:t>
      </w:r>
    </w:p>
    <w:p w14:paraId="375DA9E8" w14:textId="77777777" w:rsidR="00BA041F" w:rsidRDefault="00000000">
      <w:pPr/>
      <w:r>
        <w:t>The evidence indicates that the full-cohort twelve-month comparison is materially less distorted than the resolved-only diagnostic. For lifetime, predicted EL equals $840.6M versus realized lifetime net loss of $616.3M, covering about 136.39% of realized loss.</w:t>
      </w:r>
    </w:p>
    <w:p w14:paraId="1F4BEB4C" w14:textId="77777777" w:rsidR="00BA041F" w:rsidRDefault="00000000">
      <w:pPr>
        <w:pStyle w:val="Heading2"/>
        <w:jc w:val="left"/>
      </w:pPr>
      <w:r>
        <w:rPr>
          <w:rFonts w:ascii="Times New Roman" w:hAnsi="Times New Roman"/>
        </w:rPr>
        <w:t>5.4 Interpretation for Reserve-Style Analytics</w:t>
      </w:r>
    </w:p>
    <w:p w14:paraId="3E8E770F" w14:textId="77777777" w:rsidR="00BA041F" w:rsidRDefault="00000000">
      <w:r>
        <w:t>The key contribution of this chapter is therefore not merely the computation of a scalar EL number. Rather, it is the construction of an internally linked measurement framework in which borrower-level PD, severity, and exposure estimates propagate into loan-level dollar loss and then into portfolio aggregates. That linkage is what makes the subsequent segmentation analysis economically meaningful.</w:t>
      </w:r>
    </w:p>
    <w:p w14:paraId="7A7A59FB" w14:textId="77777777" w:rsidR="00BA041F" w:rsidRDefault="00000000">
      <w:pPr/>
      <w:r>
        <w:t>Concentration diagnostics reinforce this point. The top 1,000 loans explain only 0.79% of lifetime EL in the active snapshot and 2.42% in the resolved holdout. Expected loss in this portfolio is therefore not dominated by a tiny number of single-name exposures.</w:t>
      </w:r>
    </w:p>
    <w:p w14:paraId="42DAE2BA" w14:textId="77777777" w:rsidR="00BA041F" w:rsidRDefault="00BA041F">
      <w:pPr>
        <w:sectPr w:rsidR="00BA041F">
          <w:pgSz w:w="12240" w:h="15840"/>
          <w:pgMar w:top="1440" w:right="1440" w:bottom="1440" w:left="1440" w:header="720" w:footer="720" w:gutter="0"/>
          <w:cols w:space="720"/>
          <w:docGrid w:linePitch="360"/>
        </w:sectPr>
      </w:pPr>
    </w:p>
    <w:p w14:paraId="6238CCAA" w14:textId="77777777" w:rsidR="00BA041F" w:rsidRDefault="00000000">
      <w:pPr>
        <w:pStyle w:val="Heading1"/>
        <w:jc w:val="left"/>
      </w:pPr>
      <w:r>
        <w:rPr>
          <w:rFonts w:ascii="Times New Roman" w:hAnsi="Times New Roman"/>
        </w:rPr>
        <w:lastRenderedPageBreak/>
        <w:t>6. Risk Segmentation Analysis</w:t>
      </w:r>
    </w:p>
    <w:p w14:paraId="38108075" w14:textId="77777777" w:rsidR="00BA041F" w:rsidRDefault="00000000">
      <w:pPr>
        <w:pStyle w:val="Heading2"/>
        <w:jc w:val="left"/>
      </w:pPr>
      <w:r>
        <w:rPr>
          <w:rFonts w:ascii="Times New Roman" w:hAnsi="Times New Roman"/>
        </w:rPr>
        <w:t>6.1 Segmentation Design and Managerial Purpose</w:t>
      </w:r>
    </w:p>
    <w:p w14:paraId="6C1CD527" w14:textId="77777777" w:rsidR="00BA041F" w:rsidRDefault="00000000">
      <w:r>
        <w:t>Risk segmentation is the managerial layer that translates loan-level expected loss into a form that can support monitoring, resource allocation, and policy discussion. The segmentation design adopted here follows standard retail-credit reporting logic: grade captures underwriting quality, loan term captures maturity and amortization structure, FICO bucket captures bureau risk, purpose group approximates use-of-proceeds heterogeneity, and annual income band captures repayment capacity. Each cut is broad enough to be stable and narrow enough to be economically interpretable.</w:t>
      </w:r>
    </w:p>
    <w:p w14:paraId="292A3267" w14:textId="77777777" w:rsidR="00BA041F" w:rsidRDefault="00000000">
      <w:r>
        <w:t>The empirical objective is not to prove that one segmentation axis is universally superior. It is to identify where expected loss concentrates in the current portfolio and whether those concentrations are consistent across the resolved holdout and active reserve snapshot. That comparison matters because a segmentation scheme that appears salient only in historical defaults but not in the live book would have limited governance value.</w:t>
      </w:r>
    </w:p>
    <w:p w14:paraId="52DC6F36" w14:textId="77777777" w:rsidR="00BA041F" w:rsidRDefault="00000000">
      <w:pPr>
        <w:pStyle w:val="Heading2"/>
        <w:jc w:val="left"/>
      </w:pPr>
      <w:r>
        <w:rPr>
          <w:rFonts w:ascii="Times New Roman" w:hAnsi="Times New Roman"/>
        </w:rPr>
        <w:t>6.2 Segment Aggregation Methodology</w:t>
      </w:r>
    </w:p>
    <w:p w14:paraId="6DA343A1" w14:textId="77777777" w:rsidR="00BA041F" w:rsidRDefault="00000000">
      <w:r>
        <w:t>For each segmentation axis, the workflow aggregates loan count, funded amount, mean PD, mean LGD, mean EAD, mean EL, total EL, and share of portfolio EL. The key portfolio-share statistic is the ratio of a segment’s total expected loss to the total expected loss of the full analytical scope. This normalization ensures that segmentation results remain interpretable even when the absolute size of the resolved holdout and active snapshot differs substantially.</w:t>
      </w:r>
    </w:p>
    <w:p w14:paraId="2B666F9A" w14:textId="77777777" w:rsidR="00BA041F" w:rsidRDefault="00000000">
      <w:pPr>
        <w:ind w:firstLine="0"/>
        <w:jc w:val="center"/>
      </w:pPr>
      <w:r>
        <w:rPr>
          <w:noProof/>
        </w:rPr>
        <w:drawing>
          <wp:inline distT="0" distB="0" distL="0" distR="0" wp14:anchorId="2E900B5A" wp14:editId="67103A42">
            <wp:extent cx="4572000" cy="10461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6_1_segment_share.png"/>
                    <pic:cNvPicPr/>
                  </pic:nvPicPr>
                  <pic:blipFill>
                    <a:blip r:embed="rId19"/>
                    <a:stretch>
                      <a:fillRect/>
                    </a:stretch>
                  </pic:blipFill>
                  <pic:spPr>
                    <a:xfrm>
                      <a:off x="0" y="0"/>
                      <a:ext cx="4572000" cy="1046136"/>
                    </a:xfrm>
                    <a:prstGeom prst="rect">
                      <a:avLst/>
                    </a:prstGeom>
                  </pic:spPr>
                </pic:pic>
              </a:graphicData>
            </a:graphic>
          </wp:inline>
        </w:drawing>
      </w:r>
    </w:p>
    <w:p w14:paraId="13D42105" w14:textId="77777777" w:rsidR="00BA041F" w:rsidRDefault="00000000">
      <w:pPr>
        <w:pStyle w:val="CaptionAcademic"/>
      </w:pPr>
      <w:r>
        <w:t>Equation (6.1). Segment-level expected loss and portfolio share.</w:t>
      </w:r>
    </w:p>
    <w:p w14:paraId="4C036786" w14:textId="77777777" w:rsidR="00BA041F" w:rsidRDefault="00000000">
      <w:pPr>
        <w:pStyle w:val="CaptionAcademic"/>
        <w:pageBreakBefore/>
      </w:pPr>
      <w:r>
        <w:t>Table 6.1. Lifetime expected loss by credit grade across the two analytical scopes.</w:t>
      </w:r>
    </w:p>
    <w:tbl>
      <w:tblPr>
        <w:tblStyle w:val="TableGrid"/>
        <w:tblW w:w="0" w:type="auto"/>
        <w:jc w:val="center"/>
        <w:tblLayout w:type="fixed"/>
        <w:tblLook w:val="04A0" w:firstRow="1" w:lastRow="0" w:firstColumn="1" w:lastColumn="0" w:noHBand="0" w:noVBand="1"/>
      </w:tblPr>
      <w:tblGrid>
        <w:gridCol w:w="1152"/>
        <w:gridCol w:w="1872"/>
        <w:gridCol w:w="1440"/>
        <w:gridCol w:w="1872"/>
        <w:gridCol w:w="1440"/>
      </w:tblGrid>
      <w:tr w:rsidR="00BA041F" w14:paraId="3DE11D80" w14:textId="77777777">
        <w:trPr>
          <w:jc w:val="center"/>
          <w:cantSplit/>
        </w:trPr>
        <w:tc>
          <w:tcPr>
            <w:tcW w:w="648" w:type="dxa"/>
            <w:shd w:val="clear" w:color="auto" w:fill="E6E6E6"/>
            <w:vAlign w:val="center"/>
            <w:tcMar>
              <w:top w:w="35" w:type="dxa"/>
              <w:start w:w="35" w:type="dxa"/>
              <w:bottom w:w="35" w:type="dxa"/>
              <w:end w:w="35" w:type="dxa"/>
            </w:tcMar>
          </w:tcPr>
          <w:p w14:paraId="39A76E0D" w14:textId="77777777" w:rsidR="00BA041F" w:rsidRDefault="00000000">
            <w:pPr>
              <w:pStyle w:val="TableBodyAcademic"/>
              <w:spacing w:before="0" w:after="0" w:line="240" w:lineRule="auto"/>
              <w:jc w:val="left"/>
            </w:pPr>
            <w:r>
              <w:rPr>
                <w:b/>
                <w:sz w:val="14"/>
              </w:rPr>
              <w:t>Grade</w:t>
            </w:r>
          </w:p>
        </w:tc>
        <w:tc>
          <w:tcPr>
            <w:tcW w:w="1440" w:type="dxa"/>
            <w:shd w:val="clear" w:color="auto" w:fill="E6E6E6"/>
            <w:vAlign w:val="center"/>
            <w:tcMar>
              <w:top w:w="35" w:type="dxa"/>
              <w:start w:w="35" w:type="dxa"/>
              <w:bottom w:w="35" w:type="dxa"/>
              <w:end w:w="35" w:type="dxa"/>
            </w:tcMar>
          </w:tcPr>
          <w:p w14:paraId="6735B18D" w14:textId="77777777" w:rsidR="00BA041F" w:rsidRDefault="00000000">
            <w:pPr>
              <w:pStyle w:val="TableBodyAcademic"/>
              <w:spacing w:before="0" w:after="0" w:line="240" w:lineRule="auto"/>
              <w:jc w:val="left"/>
            </w:pPr>
            <w:r>
              <w:rPr>
                <w:b/>
                <w:sz w:val="14"/>
              </w:rPr>
              <w:t>Resolved holdout expected loss</w:t>
            </w:r>
          </w:p>
        </w:tc>
        <w:tc>
          <w:tcPr>
            <w:tcW w:w="1181" w:type="dxa"/>
            <w:shd w:val="clear" w:color="auto" w:fill="E6E6E6"/>
            <w:vAlign w:val="center"/>
            <w:tcMar>
              <w:top w:w="35" w:type="dxa"/>
              <w:start w:w="35" w:type="dxa"/>
              <w:bottom w:w="35" w:type="dxa"/>
              <w:end w:w="35" w:type="dxa"/>
            </w:tcMar>
          </w:tcPr>
          <w:p w14:paraId="11E95D58" w14:textId="77777777" w:rsidR="00BA041F" w:rsidRDefault="00000000">
            <w:pPr>
              <w:pStyle w:val="TableBodyAcademic"/>
              <w:spacing w:before="0" w:after="0" w:line="240" w:lineRule="auto"/>
              <w:jc w:val="left"/>
            </w:pPr>
            <w:r>
              <w:rPr>
                <w:b/>
                <w:sz w:val="14"/>
              </w:rPr>
              <w:t>Resolved holdout share of expected loss</w:t>
            </w:r>
          </w:p>
        </w:tc>
        <w:tc>
          <w:tcPr>
            <w:tcW w:w="1440" w:type="dxa"/>
            <w:shd w:val="clear" w:color="auto" w:fill="E6E6E6"/>
            <w:vAlign w:val="center"/>
            <w:tcMar>
              <w:top w:w="35" w:type="dxa"/>
              <w:start w:w="35" w:type="dxa"/>
              <w:bottom w:w="35" w:type="dxa"/>
              <w:end w:w="35" w:type="dxa"/>
            </w:tcMar>
          </w:tcPr>
          <w:p w14:paraId="40AEBAC2" w14:textId="77777777" w:rsidR="00BA041F" w:rsidRDefault="00000000">
            <w:pPr>
              <w:pStyle w:val="TableBodyAcademic"/>
              <w:spacing w:before="0" w:after="0" w:line="240" w:lineRule="auto"/>
              <w:jc w:val="left"/>
            </w:pPr>
            <w:r>
              <w:rPr>
                <w:b/>
                <w:sz w:val="14"/>
              </w:rPr>
              <w:t>Active snapshot expected loss</w:t>
            </w:r>
          </w:p>
        </w:tc>
        <w:tc>
          <w:tcPr>
            <w:tcW w:w="1181" w:type="dxa"/>
            <w:shd w:val="clear" w:color="auto" w:fill="E6E6E6"/>
            <w:vAlign w:val="center"/>
            <w:tcMar>
              <w:top w:w="35" w:type="dxa"/>
              <w:start w:w="35" w:type="dxa"/>
              <w:bottom w:w="35" w:type="dxa"/>
              <w:end w:w="35" w:type="dxa"/>
            </w:tcMar>
          </w:tcPr>
          <w:p w14:paraId="0A3F6A63" w14:textId="77777777" w:rsidR="00BA041F" w:rsidRDefault="00000000">
            <w:pPr>
              <w:pStyle w:val="TableBodyAcademic"/>
              <w:spacing w:before="0" w:after="0" w:line="240" w:lineRule="auto"/>
              <w:jc w:val="left"/>
            </w:pPr>
            <w:r>
              <w:rPr>
                <w:b/>
                <w:sz w:val="14"/>
              </w:rPr>
              <w:t>Active snapshot share of expected loss</w:t>
            </w:r>
          </w:p>
        </w:tc>
      </w:tr>
      <w:tr w:rsidR="00BA041F" w14:paraId="21264684" w14:textId="77777777">
        <w:trPr>
          <w:jc w:val="center"/>
          <w:cantSplit/>
        </w:trPr>
        <w:tc>
          <w:tcPr>
            <w:tcW w:w="648" w:type="dxa"/>
            <w:vAlign w:val="center"/>
            <w:tcMar>
              <w:top w:w="35" w:type="dxa"/>
              <w:start w:w="35" w:type="dxa"/>
              <w:bottom w:w="35" w:type="dxa"/>
              <w:end w:w="35" w:type="dxa"/>
            </w:tcMar>
          </w:tcPr>
          <w:p>
            <w:pPr>
              <w:spacing w:before="0" w:after="0" w:line="240" w:lineRule="auto"/>
              <w:jc w:val="left"/>
            </w:pPr>
            <w:r>
              <w:rPr>
                <w:sz w:val="14"/>
              </w:rPr>
              <w:t>A</w:t>
            </w:r>
          </w:p>
        </w:tc>
        <w:tc>
          <w:tcPr>
            <w:tcW w:w="1440" w:type="dxa"/>
            <w:vAlign w:val="center"/>
            <w:tcMar>
              <w:top w:w="35" w:type="dxa"/>
              <w:start w:w="35" w:type="dxa"/>
              <w:bottom w:w="35" w:type="dxa"/>
              <w:end w:w="35" w:type="dxa"/>
            </w:tcMar>
          </w:tcPr>
          <w:p>
            <w:pPr>
              <w:spacing w:before="0" w:after="0" w:line="240" w:lineRule="auto"/>
              <w:jc w:val="right"/>
            </w:pPr>
            <w:r>
              <w:rPr>
                <w:sz w:val="14"/>
              </w:rPr>
              <w:t>$38.1M</w:t>
            </w:r>
          </w:p>
        </w:tc>
        <w:tc>
          <w:tcPr>
            <w:tcW w:w="1181" w:type="dxa"/>
            <w:vAlign w:val="center"/>
            <w:tcMar>
              <w:top w:w="35" w:type="dxa"/>
              <w:start w:w="35" w:type="dxa"/>
              <w:bottom w:w="35" w:type="dxa"/>
              <w:end w:w="35" w:type="dxa"/>
            </w:tcMar>
          </w:tcPr>
          <w:p>
            <w:pPr>
              <w:spacing w:before="0" w:after="0" w:line="240" w:lineRule="auto"/>
              <w:jc w:val="right"/>
            </w:pPr>
            <w:r>
              <w:rPr>
                <w:sz w:val="14"/>
              </w:rPr>
              <w:t>4.54%</w:t>
            </w:r>
          </w:p>
        </w:tc>
        <w:tc>
          <w:tcPr>
            <w:tcW w:w="1440" w:type="dxa"/>
            <w:vAlign w:val="center"/>
            <w:tcMar>
              <w:top w:w="35" w:type="dxa"/>
              <w:start w:w="35" w:type="dxa"/>
              <w:bottom w:w="35" w:type="dxa"/>
              <w:end w:w="35" w:type="dxa"/>
            </w:tcMar>
          </w:tcPr>
          <w:p>
            <w:pPr>
              <w:spacing w:before="0" w:after="0" w:line="240" w:lineRule="auto"/>
              <w:jc w:val="right"/>
            </w:pPr>
            <w:r>
              <w:rPr>
                <w:sz w:val="14"/>
              </w:rPr>
              <w:t>$169.2M</w:t>
            </w:r>
          </w:p>
        </w:tc>
        <w:tc>
          <w:tcPr>
            <w:tcW w:w="1181" w:type="dxa"/>
            <w:vAlign w:val="center"/>
            <w:tcMar>
              <w:top w:w="35" w:type="dxa"/>
              <w:start w:w="35" w:type="dxa"/>
              <w:bottom w:w="35" w:type="dxa"/>
              <w:end w:w="35" w:type="dxa"/>
            </w:tcMar>
          </w:tcPr>
          <w:p>
            <w:pPr>
              <w:spacing w:before="0" w:after="0" w:line="240" w:lineRule="auto"/>
              <w:jc w:val="right"/>
            </w:pPr>
            <w:r>
              <w:rPr>
                <w:sz w:val="14"/>
              </w:rPr>
              <w:t>6.89%</w:t>
            </w:r>
          </w:p>
        </w:tc>
      </w:tr>
      <w:tr w:rsidR="00BA041F" w14:paraId="64380C0A" w14:textId="77777777">
        <w:trPr>
          <w:jc w:val="center"/>
          <w:cantSplit/>
        </w:trPr>
        <w:tc>
          <w:tcPr>
            <w:tcW w:w="648" w:type="dxa"/>
            <w:vAlign w:val="center"/>
            <w:tcMar>
              <w:top w:w="35" w:type="dxa"/>
              <w:start w:w="35" w:type="dxa"/>
              <w:bottom w:w="35" w:type="dxa"/>
              <w:end w:w="35" w:type="dxa"/>
            </w:tcMar>
          </w:tcPr>
          <w:p>
            <w:pPr>
              <w:spacing w:before="0" w:after="0" w:line="240" w:lineRule="auto"/>
              <w:jc w:val="left"/>
            </w:pPr>
            <w:r>
              <w:rPr>
                <w:sz w:val="14"/>
              </w:rPr>
              <w:t>B</w:t>
            </w:r>
          </w:p>
        </w:tc>
        <w:tc>
          <w:tcPr>
            <w:tcW w:w="1440" w:type="dxa"/>
            <w:vAlign w:val="center"/>
            <w:tcMar>
              <w:top w:w="35" w:type="dxa"/>
              <w:start w:w="35" w:type="dxa"/>
              <w:bottom w:w="35" w:type="dxa"/>
              <w:end w:w="35" w:type="dxa"/>
            </w:tcMar>
          </w:tcPr>
          <w:p>
            <w:pPr>
              <w:spacing w:before="0" w:after="0" w:line="240" w:lineRule="auto"/>
              <w:jc w:val="right"/>
            </w:pPr>
            <w:r>
              <w:rPr>
                <w:sz w:val="14"/>
              </w:rPr>
              <w:t>$143.4M</w:t>
            </w:r>
          </w:p>
        </w:tc>
        <w:tc>
          <w:tcPr>
            <w:tcW w:w="1181" w:type="dxa"/>
            <w:vAlign w:val="center"/>
            <w:tcMar>
              <w:top w:w="35" w:type="dxa"/>
              <w:start w:w="35" w:type="dxa"/>
              <w:bottom w:w="35" w:type="dxa"/>
              <w:end w:w="35" w:type="dxa"/>
            </w:tcMar>
          </w:tcPr>
          <w:p>
            <w:pPr>
              <w:spacing w:before="0" w:after="0" w:line="240" w:lineRule="auto"/>
              <w:jc w:val="right"/>
            </w:pPr>
            <w:r>
              <w:rPr>
                <w:sz w:val="14"/>
              </w:rPr>
              <w:t>17.06%</w:t>
            </w:r>
          </w:p>
        </w:tc>
        <w:tc>
          <w:tcPr>
            <w:tcW w:w="1440" w:type="dxa"/>
            <w:vAlign w:val="center"/>
            <w:tcMar>
              <w:top w:w="35" w:type="dxa"/>
              <w:start w:w="35" w:type="dxa"/>
              <w:bottom w:w="35" w:type="dxa"/>
              <w:end w:w="35" w:type="dxa"/>
            </w:tcMar>
          </w:tcPr>
          <w:p>
            <w:pPr>
              <w:spacing w:before="0" w:after="0" w:line="240" w:lineRule="auto"/>
              <w:jc w:val="right"/>
            </w:pPr>
            <w:r>
              <w:rPr>
                <w:sz w:val="14"/>
              </w:rPr>
              <w:t>$533.0M</w:t>
            </w:r>
          </w:p>
        </w:tc>
        <w:tc>
          <w:tcPr>
            <w:tcW w:w="1181" w:type="dxa"/>
            <w:vAlign w:val="center"/>
            <w:tcMar>
              <w:top w:w="35" w:type="dxa"/>
              <w:start w:w="35" w:type="dxa"/>
              <w:bottom w:w="35" w:type="dxa"/>
              <w:end w:w="35" w:type="dxa"/>
            </w:tcMar>
          </w:tcPr>
          <w:p>
            <w:pPr>
              <w:spacing w:before="0" w:after="0" w:line="240" w:lineRule="auto"/>
              <w:jc w:val="right"/>
            </w:pPr>
            <w:r>
              <w:rPr>
                <w:sz w:val="14"/>
              </w:rPr>
              <w:t>21.71%</w:t>
            </w:r>
          </w:p>
        </w:tc>
      </w:tr>
      <w:tr w:rsidR="00BA041F" w14:paraId="16F50BEC" w14:textId="77777777">
        <w:trPr>
          <w:jc w:val="center"/>
          <w:cantSplit/>
        </w:trPr>
        <w:tc>
          <w:tcPr>
            <w:tcW w:w="648" w:type="dxa"/>
            <w:vAlign w:val="center"/>
            <w:tcMar>
              <w:top w:w="35" w:type="dxa"/>
              <w:start w:w="35" w:type="dxa"/>
              <w:bottom w:w="35" w:type="dxa"/>
              <w:end w:w="35" w:type="dxa"/>
            </w:tcMar>
          </w:tcPr>
          <w:p>
            <w:pPr>
              <w:spacing w:before="0" w:after="0" w:line="240" w:lineRule="auto"/>
              <w:jc w:val="left"/>
            </w:pPr>
            <w:r>
              <w:rPr>
                <w:sz w:val="14"/>
              </w:rPr>
              <w:t>C</w:t>
            </w:r>
          </w:p>
        </w:tc>
        <w:tc>
          <w:tcPr>
            <w:tcW w:w="1440" w:type="dxa"/>
            <w:vAlign w:val="center"/>
            <w:tcMar>
              <w:top w:w="35" w:type="dxa"/>
              <w:start w:w="35" w:type="dxa"/>
              <w:bottom w:w="35" w:type="dxa"/>
              <w:end w:w="35" w:type="dxa"/>
            </w:tcMar>
          </w:tcPr>
          <w:p>
            <w:pPr>
              <w:spacing w:before="0" w:after="0" w:line="240" w:lineRule="auto"/>
              <w:jc w:val="right"/>
            </w:pPr>
            <w:r>
              <w:rPr>
                <w:sz w:val="14"/>
              </w:rPr>
              <w:t>$283.6M</w:t>
            </w:r>
          </w:p>
        </w:tc>
        <w:tc>
          <w:tcPr>
            <w:tcW w:w="1181" w:type="dxa"/>
            <w:vAlign w:val="center"/>
            <w:tcMar>
              <w:top w:w="35" w:type="dxa"/>
              <w:start w:w="35" w:type="dxa"/>
              <w:bottom w:w="35" w:type="dxa"/>
              <w:end w:w="35" w:type="dxa"/>
            </w:tcMar>
          </w:tcPr>
          <w:p>
            <w:pPr>
              <w:spacing w:before="0" w:after="0" w:line="240" w:lineRule="auto"/>
              <w:jc w:val="right"/>
            </w:pPr>
            <w:r>
              <w:rPr>
                <w:sz w:val="14"/>
              </w:rPr>
              <w:t>33.74%</w:t>
            </w:r>
          </w:p>
        </w:tc>
        <w:tc>
          <w:tcPr>
            <w:tcW w:w="1440" w:type="dxa"/>
            <w:vAlign w:val="center"/>
            <w:tcMar>
              <w:top w:w="35" w:type="dxa"/>
              <w:start w:w="35" w:type="dxa"/>
              <w:bottom w:w="35" w:type="dxa"/>
              <w:end w:w="35" w:type="dxa"/>
            </w:tcMar>
          </w:tcPr>
          <w:p>
            <w:pPr>
              <w:spacing w:before="0" w:after="0" w:line="240" w:lineRule="auto"/>
              <w:jc w:val="right"/>
            </w:pPr>
            <w:r>
              <w:rPr>
                <w:sz w:val="14"/>
              </w:rPr>
              <w:t>$880.1M</w:t>
            </w:r>
          </w:p>
        </w:tc>
        <w:tc>
          <w:tcPr>
            <w:tcW w:w="1181" w:type="dxa"/>
            <w:vAlign w:val="center"/>
            <w:tcMar>
              <w:top w:w="35" w:type="dxa"/>
              <w:start w:w="35" w:type="dxa"/>
              <w:bottom w:w="35" w:type="dxa"/>
              <w:end w:w="35" w:type="dxa"/>
            </w:tcMar>
          </w:tcPr>
          <w:p>
            <w:pPr>
              <w:spacing w:before="0" w:after="0" w:line="240" w:lineRule="auto"/>
              <w:jc w:val="right"/>
            </w:pPr>
            <w:r>
              <w:rPr>
                <w:sz w:val="14"/>
              </w:rPr>
              <w:t>35.84%</w:t>
            </w:r>
          </w:p>
        </w:tc>
      </w:tr>
      <w:tr w:rsidR="00BA041F" w14:paraId="798AC71A" w14:textId="77777777">
        <w:trPr>
          <w:jc w:val="center"/>
          <w:cantSplit/>
        </w:trPr>
        <w:tc>
          <w:tcPr>
            <w:tcW w:w="648" w:type="dxa"/>
            <w:vAlign w:val="center"/>
            <w:tcMar>
              <w:top w:w="35" w:type="dxa"/>
              <w:start w:w="35" w:type="dxa"/>
              <w:bottom w:w="35" w:type="dxa"/>
              <w:end w:w="35" w:type="dxa"/>
            </w:tcMar>
          </w:tcPr>
          <w:p>
            <w:pPr>
              <w:spacing w:before="0" w:after="0" w:line="240" w:lineRule="auto"/>
              <w:jc w:val="left"/>
            </w:pPr>
            <w:r>
              <w:rPr>
                <w:sz w:val="14"/>
              </w:rPr>
              <w:t>D</w:t>
            </w:r>
          </w:p>
        </w:tc>
        <w:tc>
          <w:tcPr>
            <w:tcW w:w="1440" w:type="dxa"/>
            <w:vAlign w:val="center"/>
            <w:tcMar>
              <w:top w:w="35" w:type="dxa"/>
              <w:start w:w="35" w:type="dxa"/>
              <w:bottom w:w="35" w:type="dxa"/>
              <w:end w:w="35" w:type="dxa"/>
            </w:tcMar>
          </w:tcPr>
          <w:p>
            <w:pPr>
              <w:spacing w:before="0" w:after="0" w:line="240" w:lineRule="auto"/>
              <w:jc w:val="right"/>
            </w:pPr>
            <w:r>
              <w:rPr>
                <w:sz w:val="14"/>
              </w:rPr>
              <w:t>$202.0M</w:t>
            </w:r>
          </w:p>
        </w:tc>
        <w:tc>
          <w:tcPr>
            <w:tcW w:w="1181" w:type="dxa"/>
            <w:vAlign w:val="center"/>
            <w:tcMar>
              <w:top w:w="35" w:type="dxa"/>
              <w:start w:w="35" w:type="dxa"/>
              <w:bottom w:w="35" w:type="dxa"/>
              <w:end w:w="35" w:type="dxa"/>
            </w:tcMar>
          </w:tcPr>
          <w:p>
            <w:pPr>
              <w:spacing w:before="0" w:after="0" w:line="240" w:lineRule="auto"/>
              <w:jc w:val="right"/>
            </w:pPr>
            <w:r>
              <w:rPr>
                <w:sz w:val="14"/>
              </w:rPr>
              <w:t>24.03%</w:t>
            </w:r>
          </w:p>
        </w:tc>
        <w:tc>
          <w:tcPr>
            <w:tcW w:w="1440" w:type="dxa"/>
            <w:vAlign w:val="center"/>
            <w:tcMar>
              <w:top w:w="35" w:type="dxa"/>
              <w:start w:w="35" w:type="dxa"/>
              <w:bottom w:w="35" w:type="dxa"/>
              <w:end w:w="35" w:type="dxa"/>
            </w:tcMar>
          </w:tcPr>
          <w:p>
            <w:pPr>
              <w:spacing w:before="0" w:after="0" w:line="240" w:lineRule="auto"/>
              <w:jc w:val="right"/>
            </w:pPr>
            <w:r>
              <w:rPr>
                <w:sz w:val="14"/>
              </w:rPr>
              <w:t>$565.7M</w:t>
            </w:r>
          </w:p>
        </w:tc>
        <w:tc>
          <w:tcPr>
            <w:tcW w:w="1181" w:type="dxa"/>
            <w:vAlign w:val="center"/>
            <w:tcMar>
              <w:top w:w="35" w:type="dxa"/>
              <w:start w:w="35" w:type="dxa"/>
              <w:bottom w:w="35" w:type="dxa"/>
              <w:end w:w="35" w:type="dxa"/>
            </w:tcMar>
          </w:tcPr>
          <w:p>
            <w:pPr>
              <w:spacing w:before="0" w:after="0" w:line="240" w:lineRule="auto"/>
              <w:jc w:val="right"/>
            </w:pPr>
            <w:r>
              <w:rPr>
                <w:sz w:val="14"/>
              </w:rPr>
              <w:t>23.04%</w:t>
            </w:r>
          </w:p>
        </w:tc>
      </w:tr>
      <w:tr w:rsidR="00BA041F" w14:paraId="0B7478C5" w14:textId="77777777">
        <w:trPr>
          <w:jc w:val="center"/>
          <w:cantSplit/>
        </w:trPr>
        <w:tc>
          <w:tcPr>
            <w:tcW w:w="648" w:type="dxa"/>
            <w:vAlign w:val="center"/>
            <w:tcMar>
              <w:top w:w="35" w:type="dxa"/>
              <w:start w:w="35" w:type="dxa"/>
              <w:bottom w:w="35" w:type="dxa"/>
              <w:end w:w="35" w:type="dxa"/>
            </w:tcMar>
          </w:tcPr>
          <w:p>
            <w:pPr>
              <w:spacing w:before="0" w:after="0" w:line="240" w:lineRule="auto"/>
              <w:jc w:val="left"/>
            </w:pPr>
            <w:r>
              <w:rPr>
                <w:sz w:val="14"/>
              </w:rPr>
              <w:t>E</w:t>
            </w:r>
          </w:p>
        </w:tc>
        <w:tc>
          <w:tcPr>
            <w:tcW w:w="1440" w:type="dxa"/>
            <w:vAlign w:val="center"/>
            <w:tcMar>
              <w:top w:w="35" w:type="dxa"/>
              <w:start w:w="35" w:type="dxa"/>
              <w:bottom w:w="35" w:type="dxa"/>
              <w:end w:w="35" w:type="dxa"/>
            </w:tcMar>
          </w:tcPr>
          <w:p>
            <w:pPr>
              <w:spacing w:before="0" w:after="0" w:line="240" w:lineRule="auto"/>
              <w:jc w:val="right"/>
            </w:pPr>
            <w:r>
              <w:rPr>
                <w:sz w:val="14"/>
              </w:rPr>
              <w:t>$103.9M</w:t>
            </w:r>
          </w:p>
        </w:tc>
        <w:tc>
          <w:tcPr>
            <w:tcW w:w="1181" w:type="dxa"/>
            <w:vAlign w:val="center"/>
            <w:tcMar>
              <w:top w:w="35" w:type="dxa"/>
              <w:start w:w="35" w:type="dxa"/>
              <w:bottom w:w="35" w:type="dxa"/>
              <w:end w:w="35" w:type="dxa"/>
            </w:tcMar>
          </w:tcPr>
          <w:p>
            <w:pPr>
              <w:spacing w:before="0" w:after="0" w:line="240" w:lineRule="auto"/>
              <w:jc w:val="right"/>
            </w:pPr>
            <w:r>
              <w:rPr>
                <w:sz w:val="14"/>
              </w:rPr>
              <w:t>12.37%</w:t>
            </w:r>
          </w:p>
        </w:tc>
        <w:tc>
          <w:tcPr>
            <w:tcW w:w="1440" w:type="dxa"/>
            <w:vAlign w:val="center"/>
            <w:tcMar>
              <w:top w:w="35" w:type="dxa"/>
              <w:start w:w="35" w:type="dxa"/>
              <w:bottom w:w="35" w:type="dxa"/>
              <w:end w:w="35" w:type="dxa"/>
            </w:tcMar>
          </w:tcPr>
          <w:p>
            <w:pPr>
              <w:spacing w:before="0" w:after="0" w:line="240" w:lineRule="auto"/>
              <w:jc w:val="right"/>
            </w:pPr>
            <w:r>
              <w:rPr>
                <w:sz w:val="14"/>
              </w:rPr>
              <w:t>$220.6M</w:t>
            </w:r>
          </w:p>
        </w:tc>
        <w:tc>
          <w:tcPr>
            <w:tcW w:w="1181" w:type="dxa"/>
            <w:vAlign w:val="center"/>
            <w:tcMar>
              <w:top w:w="35" w:type="dxa"/>
              <w:start w:w="35" w:type="dxa"/>
              <w:bottom w:w="35" w:type="dxa"/>
              <w:end w:w="35" w:type="dxa"/>
            </w:tcMar>
          </w:tcPr>
          <w:p>
            <w:pPr>
              <w:spacing w:before="0" w:after="0" w:line="240" w:lineRule="auto"/>
              <w:jc w:val="right"/>
            </w:pPr>
            <w:r>
              <w:rPr>
                <w:sz w:val="14"/>
              </w:rPr>
              <w:t>8.98%</w:t>
            </w:r>
          </w:p>
        </w:tc>
      </w:tr>
      <w:tr w:rsidR="00BA041F" w14:paraId="6D557EC3" w14:textId="77777777">
        <w:trPr>
          <w:jc w:val="center"/>
          <w:cantSplit/>
        </w:trPr>
        <w:tc>
          <w:tcPr>
            <w:tcW w:w="648" w:type="dxa"/>
            <w:vAlign w:val="center"/>
            <w:tcMar>
              <w:top w:w="35" w:type="dxa"/>
              <w:start w:w="35" w:type="dxa"/>
              <w:bottom w:w="35" w:type="dxa"/>
              <w:end w:w="35" w:type="dxa"/>
            </w:tcMar>
          </w:tcPr>
          <w:p>
            <w:pPr>
              <w:spacing w:before="0" w:after="0" w:line="240" w:lineRule="auto"/>
              <w:jc w:val="left"/>
            </w:pPr>
            <w:r>
              <w:rPr>
                <w:sz w:val="14"/>
              </w:rPr>
              <w:t>F</w:t>
            </w:r>
          </w:p>
        </w:tc>
        <w:tc>
          <w:tcPr>
            <w:tcW w:w="1440" w:type="dxa"/>
            <w:vAlign w:val="center"/>
            <w:tcMar>
              <w:top w:w="35" w:type="dxa"/>
              <w:start w:w="35" w:type="dxa"/>
              <w:bottom w:w="35" w:type="dxa"/>
              <w:end w:w="35" w:type="dxa"/>
            </w:tcMar>
          </w:tcPr>
          <w:p>
            <w:pPr>
              <w:spacing w:before="0" w:after="0" w:line="240" w:lineRule="auto"/>
              <w:jc w:val="right"/>
            </w:pPr>
            <w:r>
              <w:rPr>
                <w:sz w:val="14"/>
              </w:rPr>
              <w:t>$43.9M</w:t>
            </w:r>
          </w:p>
        </w:tc>
        <w:tc>
          <w:tcPr>
            <w:tcW w:w="1181" w:type="dxa"/>
            <w:vAlign w:val="center"/>
            <w:tcMar>
              <w:top w:w="35" w:type="dxa"/>
              <w:start w:w="35" w:type="dxa"/>
              <w:bottom w:w="35" w:type="dxa"/>
              <w:end w:w="35" w:type="dxa"/>
            </w:tcMar>
          </w:tcPr>
          <w:p>
            <w:pPr>
              <w:spacing w:before="0" w:after="0" w:line="240" w:lineRule="auto"/>
              <w:jc w:val="right"/>
            </w:pPr>
            <w:r>
              <w:rPr>
                <w:sz w:val="14"/>
              </w:rPr>
              <w:t>5.23%</w:t>
            </w:r>
          </w:p>
        </w:tc>
        <w:tc>
          <w:tcPr>
            <w:tcW w:w="1440" w:type="dxa"/>
            <w:vAlign w:val="center"/>
            <w:tcMar>
              <w:top w:w="35" w:type="dxa"/>
              <w:start w:w="35" w:type="dxa"/>
              <w:bottom w:w="35" w:type="dxa"/>
              <w:end w:w="35" w:type="dxa"/>
            </w:tcMar>
          </w:tcPr>
          <w:p>
            <w:pPr>
              <w:spacing w:before="0" w:after="0" w:line="240" w:lineRule="auto"/>
              <w:jc w:val="right"/>
            </w:pPr>
            <w:r>
              <w:rPr>
                <w:sz w:val="14"/>
              </w:rPr>
              <w:t>$64.9M</w:t>
            </w:r>
          </w:p>
        </w:tc>
        <w:tc>
          <w:tcPr>
            <w:tcW w:w="1181" w:type="dxa"/>
            <w:vAlign w:val="center"/>
            <w:tcMar>
              <w:top w:w="35" w:type="dxa"/>
              <w:start w:w="35" w:type="dxa"/>
              <w:bottom w:w="35" w:type="dxa"/>
              <w:end w:w="35" w:type="dxa"/>
            </w:tcMar>
          </w:tcPr>
          <w:p>
            <w:pPr>
              <w:spacing w:before="0" w:after="0" w:line="240" w:lineRule="auto"/>
              <w:jc w:val="right"/>
            </w:pPr>
            <w:r>
              <w:rPr>
                <w:sz w:val="14"/>
              </w:rPr>
              <w:t>2.64%</w:t>
            </w:r>
          </w:p>
        </w:tc>
      </w:tr>
      <w:tr w:rsidR="00BA041F" w14:paraId="5A26EEC0" w14:textId="77777777">
        <w:trPr>
          <w:jc w:val="center"/>
          <w:cantSplit/>
        </w:trPr>
        <w:tc>
          <w:tcPr>
            <w:tcW w:w="648" w:type="dxa"/>
            <w:vAlign w:val="center"/>
            <w:tcMar>
              <w:top w:w="35" w:type="dxa"/>
              <w:start w:w="35" w:type="dxa"/>
              <w:bottom w:w="35" w:type="dxa"/>
              <w:end w:w="35" w:type="dxa"/>
            </w:tcMar>
          </w:tcPr>
          <w:p>
            <w:pPr>
              <w:spacing w:before="0" w:after="0" w:line="240" w:lineRule="auto"/>
              <w:jc w:val="left"/>
            </w:pPr>
            <w:r>
              <w:rPr>
                <w:sz w:val="14"/>
              </w:rPr>
              <w:t>G</w:t>
            </w:r>
          </w:p>
        </w:tc>
        <w:tc>
          <w:tcPr>
            <w:tcW w:w="1440" w:type="dxa"/>
            <w:vAlign w:val="center"/>
            <w:tcMar>
              <w:top w:w="35" w:type="dxa"/>
              <w:start w:w="35" w:type="dxa"/>
              <w:bottom w:w="35" w:type="dxa"/>
              <w:end w:w="35" w:type="dxa"/>
            </w:tcMar>
          </w:tcPr>
          <w:p>
            <w:pPr>
              <w:spacing w:before="0" w:after="0" w:line="240" w:lineRule="auto"/>
              <w:jc w:val="right"/>
            </w:pPr>
            <w:r>
              <w:rPr>
                <w:sz w:val="14"/>
              </w:rPr>
              <w:t>$25.6M</w:t>
            </w:r>
          </w:p>
        </w:tc>
        <w:tc>
          <w:tcPr>
            <w:tcW w:w="1181" w:type="dxa"/>
            <w:vAlign w:val="center"/>
            <w:tcMar>
              <w:top w:w="35" w:type="dxa"/>
              <w:start w:w="35" w:type="dxa"/>
              <w:bottom w:w="35" w:type="dxa"/>
              <w:end w:w="35" w:type="dxa"/>
            </w:tcMar>
          </w:tcPr>
          <w:p>
            <w:pPr>
              <w:spacing w:before="0" w:after="0" w:line="240" w:lineRule="auto"/>
              <w:jc w:val="right"/>
            </w:pPr>
            <w:r>
              <w:rPr>
                <w:sz w:val="14"/>
              </w:rPr>
              <w:t>3.04%</w:t>
            </w:r>
          </w:p>
        </w:tc>
        <w:tc>
          <w:tcPr>
            <w:tcW w:w="1440" w:type="dxa"/>
            <w:vAlign w:val="center"/>
            <w:tcMar>
              <w:top w:w="35" w:type="dxa"/>
              <w:start w:w="35" w:type="dxa"/>
              <w:bottom w:w="35" w:type="dxa"/>
              <w:end w:w="35" w:type="dxa"/>
            </w:tcMar>
          </w:tcPr>
          <w:p>
            <w:pPr>
              <w:spacing w:before="0" w:after="0" w:line="240" w:lineRule="auto"/>
              <w:jc w:val="right"/>
            </w:pPr>
            <w:r>
              <w:rPr>
                <w:sz w:val="14"/>
              </w:rPr>
              <w:t>$22.2M</w:t>
            </w:r>
          </w:p>
        </w:tc>
        <w:tc>
          <w:tcPr>
            <w:tcW w:w="1181" w:type="dxa"/>
            <w:vAlign w:val="center"/>
            <w:tcMar>
              <w:top w:w="35" w:type="dxa"/>
              <w:start w:w="35" w:type="dxa"/>
              <w:bottom w:w="35" w:type="dxa"/>
              <w:end w:w="35" w:type="dxa"/>
            </w:tcMar>
          </w:tcPr>
          <w:p>
            <w:pPr>
              <w:spacing w:before="0" w:after="0" w:line="240" w:lineRule="auto"/>
              <w:jc w:val="right"/>
            </w:pPr>
            <w:r>
              <w:rPr>
                <w:sz w:val="14"/>
              </w:rPr>
              <w:t>0.91%</w:t>
            </w:r>
          </w:p>
        </w:tc>
      </w:tr>
    </w:tbl>
    <w:p w14:paraId="22A214D8" w14:textId="77777777" w:rsidR="00BA041F" w:rsidRDefault="00BA041F"/>
    <w:p w14:paraId="3F0654D2" w14:textId="77777777" w:rsidR="00BA041F" w:rsidRDefault="00000000">
      <w:pPr>
        <w:pStyle w:val="CaptionAcademic"/>
      </w:pPr>
      <w:r>
        <w:t>Table 6.2. Dominant lifetime expected-loss segments by reporting axis.</w:t>
      </w:r>
    </w:p>
    <w:tbl>
      <w:tblPr>
        <w:tblStyle w:val="TableGrid"/>
        <w:tblW w:w="0" w:type="auto"/>
        <w:jc w:val="center"/>
        <w:tblLayout w:type="fixed"/>
        <w:tblLook w:val="04A0" w:firstRow="1" w:lastRow="0" w:firstColumn="1" w:lastColumn="0" w:noHBand="0" w:noVBand="1"/>
      </w:tblPr>
      <w:tblGrid>
        <w:gridCol w:w="1656"/>
        <w:gridCol w:w="1944"/>
        <w:gridCol w:w="1440"/>
        <w:gridCol w:w="1944"/>
        <w:gridCol w:w="1440"/>
      </w:tblGrid>
      <w:tr w:rsidR="00BA041F" w14:paraId="41C8D610" w14:textId="77777777">
        <w:trPr>
          <w:jc w:val="center"/>
          <w:cantSplit/>
        </w:trPr>
        <w:tc>
          <w:tcPr>
            <w:tcW w:w="1512" w:type="dxa"/>
            <w:shd w:val="clear" w:color="auto" w:fill="E6E6E6"/>
            <w:vAlign w:val="center"/>
            <w:tcMar>
              <w:top w:w="35" w:type="dxa"/>
              <w:start w:w="35" w:type="dxa"/>
              <w:bottom w:w="35" w:type="dxa"/>
              <w:end w:w="35" w:type="dxa"/>
            </w:tcMar>
          </w:tcPr>
          <w:p w14:paraId="70F0D886" w14:textId="77777777" w:rsidR="00BA041F" w:rsidRDefault="00000000">
            <w:pPr>
              <w:pStyle w:val="TableBodyAcademic"/>
              <w:spacing w:before="0" w:after="0" w:line="240" w:lineRule="auto"/>
              <w:jc w:val="left"/>
            </w:pPr>
            <w:r>
              <w:rPr>
                <w:b/>
                <w:sz w:val="14"/>
              </w:rPr>
              <w:t>Segmentation axis</w:t>
            </w:r>
          </w:p>
        </w:tc>
        <w:tc>
          <w:tcPr>
            <w:tcW w:w="1872" w:type="dxa"/>
            <w:shd w:val="clear" w:color="auto" w:fill="E6E6E6"/>
            <w:vAlign w:val="center"/>
            <w:tcMar>
              <w:top w:w="35" w:type="dxa"/>
              <w:start w:w="35" w:type="dxa"/>
              <w:bottom w:w="35" w:type="dxa"/>
              <w:end w:w="35" w:type="dxa"/>
            </w:tcMar>
          </w:tcPr>
          <w:p w14:paraId="62AF7D85" w14:textId="77777777" w:rsidR="00BA041F" w:rsidRDefault="00000000">
            <w:pPr>
              <w:pStyle w:val="TableBodyAcademic"/>
              <w:spacing w:before="0" w:after="0" w:line="240" w:lineRule="auto"/>
              <w:jc w:val="left"/>
            </w:pPr>
            <w:r>
              <w:rPr>
                <w:b/>
                <w:sz w:val="14"/>
              </w:rPr>
              <w:t>Resolved dominant segment</w:t>
            </w:r>
          </w:p>
        </w:tc>
        <w:tc>
          <w:tcPr>
            <w:tcW w:w="1080" w:type="dxa"/>
            <w:shd w:val="clear" w:color="auto" w:fill="E6E6E6"/>
            <w:vAlign w:val="center"/>
            <w:tcMar>
              <w:top w:w="35" w:type="dxa"/>
              <w:start w:w="35" w:type="dxa"/>
              <w:bottom w:w="35" w:type="dxa"/>
              <w:end w:w="35" w:type="dxa"/>
            </w:tcMar>
          </w:tcPr>
          <w:p w14:paraId="016F464A" w14:textId="77777777" w:rsidR="00BA041F" w:rsidRDefault="00000000">
            <w:pPr>
              <w:pStyle w:val="TableBodyAcademic"/>
              <w:spacing w:before="0" w:after="0" w:line="240" w:lineRule="auto"/>
              <w:jc w:val="left"/>
            </w:pPr>
            <w:r>
              <w:rPr>
                <w:b/>
                <w:sz w:val="14"/>
              </w:rPr>
              <w:t>Resolved share of expected loss</w:t>
            </w:r>
          </w:p>
        </w:tc>
        <w:tc>
          <w:tcPr>
            <w:tcW w:w="1872" w:type="dxa"/>
            <w:shd w:val="clear" w:color="auto" w:fill="E6E6E6"/>
            <w:vAlign w:val="center"/>
            <w:tcMar>
              <w:top w:w="35" w:type="dxa"/>
              <w:start w:w="35" w:type="dxa"/>
              <w:bottom w:w="35" w:type="dxa"/>
              <w:end w:w="35" w:type="dxa"/>
            </w:tcMar>
          </w:tcPr>
          <w:p w14:paraId="24E838BC" w14:textId="77777777" w:rsidR="00BA041F" w:rsidRDefault="00000000">
            <w:pPr>
              <w:pStyle w:val="TableBodyAcademic"/>
              <w:spacing w:before="0" w:after="0" w:line="240" w:lineRule="auto"/>
              <w:jc w:val="left"/>
            </w:pPr>
            <w:r>
              <w:rPr>
                <w:b/>
                <w:sz w:val="14"/>
              </w:rPr>
              <w:t>Active dominant segment</w:t>
            </w:r>
          </w:p>
        </w:tc>
        <w:tc>
          <w:tcPr>
            <w:tcW w:w="1080" w:type="dxa"/>
            <w:shd w:val="clear" w:color="auto" w:fill="E6E6E6"/>
            <w:vAlign w:val="center"/>
            <w:tcMar>
              <w:top w:w="35" w:type="dxa"/>
              <w:start w:w="35" w:type="dxa"/>
              <w:bottom w:w="35" w:type="dxa"/>
              <w:end w:w="35" w:type="dxa"/>
            </w:tcMar>
          </w:tcPr>
          <w:p w14:paraId="7BD55272" w14:textId="77777777" w:rsidR="00BA041F" w:rsidRDefault="00000000">
            <w:pPr>
              <w:pStyle w:val="TableBodyAcademic"/>
              <w:spacing w:before="0" w:after="0" w:line="240" w:lineRule="auto"/>
              <w:jc w:val="left"/>
            </w:pPr>
            <w:r>
              <w:rPr>
                <w:b/>
                <w:sz w:val="14"/>
              </w:rPr>
              <w:t>Active share of expected loss</w:t>
            </w:r>
          </w:p>
        </w:tc>
      </w:tr>
      <w:tr w:rsidR="00BA041F" w14:paraId="3A94AC70" w14:textId="77777777">
        <w:trPr>
          <w:jc w:val="center"/>
          <w:cantSplit/>
        </w:trPr>
        <w:tc>
          <w:tcPr>
            <w:tcW w:w="1512" w:type="dxa"/>
            <w:vAlign w:val="center"/>
            <w:tcMar>
              <w:top w:w="35" w:type="dxa"/>
              <w:start w:w="35" w:type="dxa"/>
              <w:bottom w:w="35" w:type="dxa"/>
              <w:end w:w="35" w:type="dxa"/>
            </w:tcMar>
          </w:tcPr>
          <w:p>
            <w:pPr>
              <w:spacing w:before="0" w:after="0" w:line="240" w:lineRule="auto"/>
              <w:jc w:val="left"/>
            </w:pPr>
            <w:r>
              <w:rPr>
                <w:sz w:val="14"/>
              </w:rPr>
              <w:t>Credit grade</w:t>
            </w:r>
          </w:p>
        </w:tc>
        <w:tc>
          <w:tcPr>
            <w:tcW w:w="1872" w:type="dxa"/>
            <w:vAlign w:val="center"/>
            <w:tcMar>
              <w:top w:w="35" w:type="dxa"/>
              <w:start w:w="35" w:type="dxa"/>
              <w:bottom w:w="35" w:type="dxa"/>
              <w:end w:w="35" w:type="dxa"/>
            </w:tcMar>
          </w:tcPr>
          <w:p>
            <w:pPr>
              <w:spacing w:before="0" w:after="0" w:line="240" w:lineRule="auto"/>
              <w:jc w:val="right"/>
            </w:pPr>
            <w:r>
              <w:rPr>
                <w:sz w:val="14"/>
              </w:rPr>
              <w:t>C</w:t>
            </w:r>
          </w:p>
        </w:tc>
        <w:tc>
          <w:tcPr>
            <w:tcW w:w="1080" w:type="dxa"/>
            <w:vAlign w:val="center"/>
            <w:tcMar>
              <w:top w:w="35" w:type="dxa"/>
              <w:start w:w="35" w:type="dxa"/>
              <w:bottom w:w="35" w:type="dxa"/>
              <w:end w:w="35" w:type="dxa"/>
            </w:tcMar>
          </w:tcPr>
          <w:p>
            <w:pPr>
              <w:spacing w:before="0" w:after="0" w:line="240" w:lineRule="auto"/>
              <w:jc w:val="right"/>
            </w:pPr>
            <w:r>
              <w:rPr>
                <w:sz w:val="14"/>
              </w:rPr>
              <w:t>33.74%</w:t>
            </w:r>
          </w:p>
        </w:tc>
        <w:tc>
          <w:tcPr>
            <w:tcW w:w="1872" w:type="dxa"/>
            <w:vAlign w:val="center"/>
            <w:tcMar>
              <w:top w:w="35" w:type="dxa"/>
              <w:start w:w="35" w:type="dxa"/>
              <w:bottom w:w="35" w:type="dxa"/>
              <w:end w:w="35" w:type="dxa"/>
            </w:tcMar>
          </w:tcPr>
          <w:p>
            <w:pPr>
              <w:spacing w:before="0" w:after="0" w:line="240" w:lineRule="auto"/>
              <w:jc w:val="right"/>
            </w:pPr>
            <w:r>
              <w:rPr>
                <w:sz w:val="14"/>
              </w:rPr>
              <w:t>C</w:t>
            </w:r>
          </w:p>
        </w:tc>
        <w:tc>
          <w:tcPr>
            <w:tcW w:w="1080" w:type="dxa"/>
            <w:vAlign w:val="center"/>
            <w:tcMar>
              <w:top w:w="35" w:type="dxa"/>
              <w:start w:w="35" w:type="dxa"/>
              <w:bottom w:w="35" w:type="dxa"/>
              <w:end w:w="35" w:type="dxa"/>
            </w:tcMar>
          </w:tcPr>
          <w:p>
            <w:pPr>
              <w:spacing w:before="0" w:after="0" w:line="240" w:lineRule="auto"/>
              <w:jc w:val="right"/>
            </w:pPr>
            <w:r>
              <w:rPr>
                <w:sz w:val="14"/>
              </w:rPr>
              <w:t>35.84%</w:t>
            </w:r>
          </w:p>
        </w:tc>
      </w:tr>
      <w:tr w:rsidR="00BA041F" w14:paraId="4F046950" w14:textId="77777777">
        <w:trPr>
          <w:jc w:val="center"/>
          <w:cantSplit/>
        </w:trPr>
        <w:tc>
          <w:tcPr>
            <w:tcW w:w="1512" w:type="dxa"/>
            <w:vAlign w:val="center"/>
            <w:tcMar>
              <w:top w:w="35" w:type="dxa"/>
              <w:start w:w="35" w:type="dxa"/>
              <w:bottom w:w="35" w:type="dxa"/>
              <w:end w:w="35" w:type="dxa"/>
            </w:tcMar>
          </w:tcPr>
          <w:p>
            <w:pPr>
              <w:spacing w:before="0" w:after="0" w:line="240" w:lineRule="auto"/>
              <w:jc w:val="left"/>
            </w:pPr>
            <w:r>
              <w:rPr>
                <w:sz w:val="14"/>
              </w:rPr>
              <w:t>Loan term</w:t>
            </w:r>
          </w:p>
        </w:tc>
        <w:tc>
          <w:tcPr>
            <w:tcW w:w="1872" w:type="dxa"/>
            <w:vAlign w:val="center"/>
            <w:tcMar>
              <w:top w:w="35" w:type="dxa"/>
              <w:start w:w="35" w:type="dxa"/>
              <w:bottom w:w="35" w:type="dxa"/>
              <w:end w:w="35" w:type="dxa"/>
            </w:tcMar>
          </w:tcPr>
          <w:p>
            <w:pPr>
              <w:spacing w:before="0" w:after="0" w:line="240" w:lineRule="auto"/>
              <w:jc w:val="right"/>
            </w:pPr>
            <w:r>
              <w:rPr>
                <w:sz w:val="14"/>
              </w:rPr>
              <w:t>60 months</w:t>
            </w:r>
          </w:p>
        </w:tc>
        <w:tc>
          <w:tcPr>
            <w:tcW w:w="1080" w:type="dxa"/>
            <w:vAlign w:val="center"/>
            <w:tcMar>
              <w:top w:w="35" w:type="dxa"/>
              <w:start w:w="35" w:type="dxa"/>
              <w:bottom w:w="35" w:type="dxa"/>
              <w:end w:w="35" w:type="dxa"/>
            </w:tcMar>
          </w:tcPr>
          <w:p>
            <w:pPr>
              <w:spacing w:before="0" w:after="0" w:line="240" w:lineRule="auto"/>
              <w:jc w:val="right"/>
            </w:pPr>
            <w:r>
              <w:rPr>
                <w:sz w:val="14"/>
              </w:rPr>
              <w:t>50.85%</w:t>
            </w:r>
          </w:p>
        </w:tc>
        <w:tc>
          <w:tcPr>
            <w:tcW w:w="1872" w:type="dxa"/>
            <w:vAlign w:val="center"/>
            <w:tcMar>
              <w:top w:w="35" w:type="dxa"/>
              <w:start w:w="35" w:type="dxa"/>
              <w:bottom w:w="35" w:type="dxa"/>
              <w:end w:w="35" w:type="dxa"/>
            </w:tcMar>
          </w:tcPr>
          <w:p>
            <w:pPr>
              <w:spacing w:before="0" w:after="0" w:line="240" w:lineRule="auto"/>
              <w:jc w:val="right"/>
            </w:pPr>
            <w:r>
              <w:rPr>
                <w:sz w:val="14"/>
              </w:rPr>
              <w:t>60 months</w:t>
            </w:r>
          </w:p>
        </w:tc>
        <w:tc>
          <w:tcPr>
            <w:tcW w:w="1080" w:type="dxa"/>
            <w:vAlign w:val="center"/>
            <w:tcMar>
              <w:top w:w="35" w:type="dxa"/>
              <w:start w:w="35" w:type="dxa"/>
              <w:bottom w:w="35" w:type="dxa"/>
              <w:end w:w="35" w:type="dxa"/>
            </w:tcMar>
          </w:tcPr>
          <w:p>
            <w:pPr>
              <w:spacing w:before="0" w:after="0" w:line="240" w:lineRule="auto"/>
              <w:jc w:val="right"/>
            </w:pPr>
            <w:r>
              <w:rPr>
                <w:sz w:val="14"/>
              </w:rPr>
              <w:t>66.80%</w:t>
            </w:r>
          </w:p>
        </w:tc>
      </w:tr>
      <w:tr w:rsidR="00BA041F" w14:paraId="789AA584" w14:textId="77777777">
        <w:trPr>
          <w:jc w:val="center"/>
          <w:cantSplit/>
        </w:trPr>
        <w:tc>
          <w:tcPr>
            <w:tcW w:w="1512" w:type="dxa"/>
            <w:vAlign w:val="center"/>
            <w:tcMar>
              <w:top w:w="35" w:type="dxa"/>
              <w:start w:w="35" w:type="dxa"/>
              <w:bottom w:w="35" w:type="dxa"/>
              <w:end w:w="35" w:type="dxa"/>
            </w:tcMar>
          </w:tcPr>
          <w:p>
            <w:pPr>
              <w:spacing w:before="0" w:after="0" w:line="240" w:lineRule="auto"/>
              <w:jc w:val="left"/>
            </w:pPr>
            <w:r>
              <w:rPr>
                <w:sz w:val="14"/>
              </w:rPr>
              <w:t>Loan purpose</w:t>
            </w:r>
          </w:p>
        </w:tc>
        <w:tc>
          <w:tcPr>
            <w:tcW w:w="1872" w:type="dxa"/>
            <w:vAlign w:val="center"/>
            <w:tcMar>
              <w:top w:w="35" w:type="dxa"/>
              <w:start w:w="35" w:type="dxa"/>
              <w:bottom w:w="35" w:type="dxa"/>
              <w:end w:w="35" w:type="dxa"/>
            </w:tcMar>
          </w:tcPr>
          <w:p>
            <w:pPr>
              <w:spacing w:before="0" w:after="0" w:line="240" w:lineRule="auto"/>
              <w:jc w:val="right"/>
            </w:pPr>
            <w:r>
              <w:rPr>
                <w:sz w:val="14"/>
              </w:rPr>
              <w:t>Debt Consolidation</w:t>
            </w:r>
          </w:p>
        </w:tc>
        <w:tc>
          <w:tcPr>
            <w:tcW w:w="1080" w:type="dxa"/>
            <w:vAlign w:val="center"/>
            <w:tcMar>
              <w:top w:w="35" w:type="dxa"/>
              <w:start w:w="35" w:type="dxa"/>
              <w:bottom w:w="35" w:type="dxa"/>
              <w:end w:w="35" w:type="dxa"/>
            </w:tcMar>
          </w:tcPr>
          <w:p>
            <w:pPr>
              <w:spacing w:before="0" w:after="0" w:line="240" w:lineRule="auto"/>
              <w:jc w:val="right"/>
            </w:pPr>
            <w:r>
              <w:rPr>
                <w:sz w:val="14"/>
              </w:rPr>
              <w:t>62.10%</w:t>
            </w:r>
          </w:p>
        </w:tc>
        <w:tc>
          <w:tcPr>
            <w:tcW w:w="1872" w:type="dxa"/>
            <w:vAlign w:val="center"/>
            <w:tcMar>
              <w:top w:w="35" w:type="dxa"/>
              <w:start w:w="35" w:type="dxa"/>
              <w:bottom w:w="35" w:type="dxa"/>
              <w:end w:w="35" w:type="dxa"/>
            </w:tcMar>
          </w:tcPr>
          <w:p>
            <w:pPr>
              <w:spacing w:before="0" w:after="0" w:line="240" w:lineRule="auto"/>
              <w:jc w:val="right"/>
            </w:pPr>
            <w:r>
              <w:rPr>
                <w:sz w:val="14"/>
              </w:rPr>
              <w:t>Debt Consolidation</w:t>
            </w:r>
          </w:p>
        </w:tc>
        <w:tc>
          <w:tcPr>
            <w:tcW w:w="1080" w:type="dxa"/>
            <w:vAlign w:val="center"/>
            <w:tcMar>
              <w:top w:w="35" w:type="dxa"/>
              <w:start w:w="35" w:type="dxa"/>
              <w:bottom w:w="35" w:type="dxa"/>
              <w:end w:w="35" w:type="dxa"/>
            </w:tcMar>
          </w:tcPr>
          <w:p>
            <w:pPr>
              <w:spacing w:before="0" w:after="0" w:line="240" w:lineRule="auto"/>
              <w:jc w:val="right"/>
            </w:pPr>
            <w:r>
              <w:rPr>
                <w:sz w:val="14"/>
              </w:rPr>
              <w:t>61.69%</w:t>
            </w:r>
          </w:p>
        </w:tc>
      </w:tr>
      <w:tr w:rsidR="00BA041F" w14:paraId="58DCE7C9" w14:textId="77777777">
        <w:trPr>
          <w:jc w:val="center"/>
          <w:cantSplit/>
        </w:trPr>
        <w:tc>
          <w:tcPr>
            <w:tcW w:w="1512" w:type="dxa"/>
            <w:vAlign w:val="center"/>
            <w:tcMar>
              <w:top w:w="35" w:type="dxa"/>
              <w:start w:w="35" w:type="dxa"/>
              <w:bottom w:w="35" w:type="dxa"/>
              <w:end w:w="35" w:type="dxa"/>
            </w:tcMar>
          </w:tcPr>
          <w:p>
            <w:pPr>
              <w:spacing w:before="0" w:after="0" w:line="240" w:lineRule="auto"/>
              <w:jc w:val="left"/>
            </w:pPr>
            <w:r>
              <w:rPr>
                <w:sz w:val="14"/>
              </w:rPr>
              <w:t>FICO bucket</w:t>
            </w:r>
          </w:p>
        </w:tc>
        <w:tc>
          <w:tcPr>
            <w:tcW w:w="1872" w:type="dxa"/>
            <w:vAlign w:val="center"/>
            <w:tcMar>
              <w:top w:w="35" w:type="dxa"/>
              <w:start w:w="35" w:type="dxa"/>
              <w:bottom w:w="35" w:type="dxa"/>
              <w:end w:w="35" w:type="dxa"/>
            </w:tcMar>
          </w:tcPr>
          <w:p>
            <w:pPr>
              <w:spacing w:before="0" w:after="0" w:line="240" w:lineRule="auto"/>
              <w:jc w:val="right"/>
            </w:pPr>
            <w:r>
              <w:rPr>
                <w:sz w:val="14"/>
              </w:rPr>
              <w:t>Fair</w:t>
            </w:r>
          </w:p>
        </w:tc>
        <w:tc>
          <w:tcPr>
            <w:tcW w:w="1080" w:type="dxa"/>
            <w:vAlign w:val="center"/>
            <w:tcMar>
              <w:top w:w="35" w:type="dxa"/>
              <w:start w:w="35" w:type="dxa"/>
              <w:bottom w:w="35" w:type="dxa"/>
              <w:end w:w="35" w:type="dxa"/>
            </w:tcMar>
          </w:tcPr>
          <w:p>
            <w:pPr>
              <w:spacing w:before="0" w:after="0" w:line="240" w:lineRule="auto"/>
              <w:jc w:val="right"/>
            </w:pPr>
            <w:r>
              <w:rPr>
                <w:sz w:val="14"/>
              </w:rPr>
              <w:t>62.98%</w:t>
            </w:r>
          </w:p>
        </w:tc>
        <w:tc>
          <w:tcPr>
            <w:tcW w:w="1872" w:type="dxa"/>
            <w:vAlign w:val="center"/>
            <w:tcMar>
              <w:top w:w="35" w:type="dxa"/>
              <w:start w:w="35" w:type="dxa"/>
              <w:bottom w:w="35" w:type="dxa"/>
              <w:end w:w="35" w:type="dxa"/>
            </w:tcMar>
          </w:tcPr>
          <w:p>
            <w:pPr>
              <w:spacing w:before="0" w:after="0" w:line="240" w:lineRule="auto"/>
              <w:jc w:val="right"/>
            </w:pPr>
            <w:r>
              <w:rPr>
                <w:sz w:val="14"/>
              </w:rPr>
              <w:t>Fair</w:t>
            </w:r>
          </w:p>
        </w:tc>
        <w:tc>
          <w:tcPr>
            <w:tcW w:w="1080" w:type="dxa"/>
            <w:vAlign w:val="center"/>
            <w:tcMar>
              <w:top w:w="35" w:type="dxa"/>
              <w:start w:w="35" w:type="dxa"/>
              <w:bottom w:w="35" w:type="dxa"/>
              <w:end w:w="35" w:type="dxa"/>
            </w:tcMar>
          </w:tcPr>
          <w:p>
            <w:pPr>
              <w:spacing w:before="0" w:after="0" w:line="240" w:lineRule="auto"/>
              <w:jc w:val="right"/>
            </w:pPr>
            <w:r>
              <w:rPr>
                <w:sz w:val="14"/>
              </w:rPr>
              <w:t>59.01%</w:t>
            </w:r>
          </w:p>
        </w:tc>
      </w:tr>
      <w:tr w:rsidR="00BA041F" w14:paraId="03E28EEF" w14:textId="77777777">
        <w:trPr>
          <w:jc w:val="center"/>
          <w:cantSplit/>
        </w:trPr>
        <w:tc>
          <w:tcPr>
            <w:tcW w:w="1512" w:type="dxa"/>
            <w:vAlign w:val="center"/>
            <w:tcMar>
              <w:top w:w="35" w:type="dxa"/>
              <w:start w:w="35" w:type="dxa"/>
              <w:bottom w:w="35" w:type="dxa"/>
              <w:end w:w="35" w:type="dxa"/>
            </w:tcMar>
          </w:tcPr>
          <w:p>
            <w:pPr>
              <w:spacing w:before="0" w:after="0" w:line="240" w:lineRule="auto"/>
              <w:jc w:val="left"/>
            </w:pPr>
            <w:r>
              <w:rPr>
                <w:sz w:val="14"/>
              </w:rPr>
              <w:t>Income band</w:t>
            </w:r>
          </w:p>
        </w:tc>
        <w:tc>
          <w:tcPr>
            <w:tcW w:w="1872" w:type="dxa"/>
            <w:vAlign w:val="center"/>
            <w:tcMar>
              <w:top w:w="35" w:type="dxa"/>
              <w:start w:w="35" w:type="dxa"/>
              <w:bottom w:w="35" w:type="dxa"/>
              <w:end w:w="35" w:type="dxa"/>
            </w:tcMar>
          </w:tcPr>
          <w:p>
            <w:pPr>
              <w:spacing w:before="0" w:after="0" w:line="240" w:lineRule="auto"/>
              <w:jc w:val="right"/>
            </w:pPr>
            <w:r>
              <w:rPr>
                <w:sz w:val="14"/>
              </w:rPr>
              <w:t>$50,000-$100,000</w:t>
            </w:r>
          </w:p>
        </w:tc>
        <w:tc>
          <w:tcPr>
            <w:tcW w:w="1080" w:type="dxa"/>
            <w:vAlign w:val="center"/>
            <w:tcMar>
              <w:top w:w="35" w:type="dxa"/>
              <w:start w:w="35" w:type="dxa"/>
              <w:bottom w:w="35" w:type="dxa"/>
              <w:end w:w="35" w:type="dxa"/>
            </w:tcMar>
          </w:tcPr>
          <w:p>
            <w:pPr>
              <w:spacing w:before="0" w:after="0" w:line="240" w:lineRule="auto"/>
              <w:jc w:val="right"/>
            </w:pPr>
            <w:r>
              <w:rPr>
                <w:sz w:val="14"/>
              </w:rPr>
              <w:t>51.44%</w:t>
            </w:r>
          </w:p>
        </w:tc>
        <w:tc>
          <w:tcPr>
            <w:tcW w:w="1872" w:type="dxa"/>
            <w:vAlign w:val="center"/>
            <w:tcMar>
              <w:top w:w="35" w:type="dxa"/>
              <w:start w:w="35" w:type="dxa"/>
              <w:bottom w:w="35" w:type="dxa"/>
              <w:end w:w="35" w:type="dxa"/>
            </w:tcMar>
          </w:tcPr>
          <w:p>
            <w:pPr>
              <w:spacing w:before="0" w:after="0" w:line="240" w:lineRule="auto"/>
              <w:jc w:val="right"/>
            </w:pPr>
            <w:r>
              <w:rPr>
                <w:sz w:val="14"/>
              </w:rPr>
              <w:t>$50,000-$100,000</w:t>
            </w:r>
          </w:p>
        </w:tc>
        <w:tc>
          <w:tcPr>
            <w:tcW w:w="1080" w:type="dxa"/>
            <w:vAlign w:val="center"/>
            <w:tcMar>
              <w:top w:w="35" w:type="dxa"/>
              <w:start w:w="35" w:type="dxa"/>
              <w:bottom w:w="35" w:type="dxa"/>
              <w:end w:w="35" w:type="dxa"/>
            </w:tcMar>
          </w:tcPr>
          <w:p>
            <w:pPr>
              <w:spacing w:before="0" w:after="0" w:line="240" w:lineRule="auto"/>
              <w:jc w:val="right"/>
            </w:pPr>
            <w:r>
              <w:rPr>
                <w:sz w:val="14"/>
              </w:rPr>
              <w:t>50.38%</w:t>
            </w:r>
          </w:p>
        </w:tc>
      </w:tr>
    </w:tbl>
    <w:p w14:paraId="259209F8" w14:textId="77777777" w:rsidR="00BA041F" w:rsidRDefault="00BA041F"/>
    <w:p w14:paraId="6E9529D6" w14:textId="77777777" w:rsidR="00BA041F" w:rsidRDefault="00000000">
      <w:pPr>
        <w:pStyle w:val="Heading2"/>
        <w:jc w:val="left"/>
      </w:pPr>
      <w:r>
        <w:rPr>
          <w:rFonts w:ascii="Times New Roman" w:hAnsi="Times New Roman"/>
        </w:rPr>
        <w:t>6.3 Empirical Concentration Results</w:t>
      </w:r>
    </w:p>
    <w:p w14:paraId="6B72E02A" w14:textId="77777777" w:rsidR="00BA041F" w:rsidRDefault="00000000">
      <w:pPr/>
      <w:r>
        <w:t>Several concentration patterns are immediate. In the active snapshot, grade C alone contributes 35.84% of lifetime EL, followed by grade D at 23.04% and grade B at 21.71%. The resolved holdout exhibits a similar but slightly less concentrated pattern, with grade C contributing 33.74% and grade D contributing 24.03%.</w:t>
      </w:r>
    </w:p>
    <w:p w14:paraId="310E9AFA" w14:textId="77777777" w:rsidR="00BA041F" w:rsidRDefault="00000000">
      <w:pPr/>
      <w:r>
        <w:t>The cross-axis concentration statistics reinforce the same story. Debt Consolidation loans account for 62.10% of resolved lifetime EL, while Debt Consolidation loans account for 61.69% of active lifetime EL. The leading term segment is 60 months in the resolved holdout (50.85%) and 60 months in the active snapshot (66.80%), indicating that contractual tenor remains a primary driver of reserve exposure.</w:t>
      </w:r>
    </w:p>
    <w:p w14:paraId="185C3C12" w14:textId="77777777" w:rsidR="00BA041F" w:rsidRDefault="00000000">
      <w:r>
        <w:t>Figure 6.1 reports aggregate grade-level EL contributions across the resolved holdout and active snapshot.</w:t>
      </w:r>
    </w:p>
    <w:p w14:paraId="25792A73" w14:textId="77777777" w:rsidR="00BA041F" w:rsidRDefault="00000000">
      <w:pPr>
        <w:ind w:firstLine="0"/>
        <w:jc w:val="center"/>
      </w:pPr>
      <w:r>
        <w:rPr>
          <w:noProof/>
        </w:rPr>
        <w:drawing>
          <wp:inline distT="0" distB="0" distL="0" distR="0" wp14:anchorId="7497E983" wp14:editId="02E64A3E">
            <wp:extent cx="5303520" cy="251329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ment_el_by_grade.png"/>
                    <pic:cNvPicPr/>
                  </pic:nvPicPr>
                  <pic:blipFill>
                    <a:blip r:embed="rId20"/>
                    <a:stretch>
                      <a:fillRect/>
                    </a:stretch>
                  </pic:blipFill>
                  <pic:spPr>
                    <a:xfrm>
                      <a:off x="0" y="0"/>
                      <a:ext cx="5303520" cy="2513291"/>
                    </a:xfrm>
                    <a:prstGeom prst="rect">
                      <a:avLst/>
                    </a:prstGeom>
                  </pic:spPr>
                </pic:pic>
              </a:graphicData>
            </a:graphic>
          </wp:inline>
        </w:drawing>
      </w:r>
    </w:p>
    <w:p w14:paraId="345E4230" w14:textId="77777777" w:rsidR="00BA041F" w:rsidRDefault="00000000">
      <w:pPr>
        <w:pStyle w:val="CaptionAcademic"/>
      </w:pPr>
      <w:r>
        <w:t>Figure 6.1. Lifetime expected loss by credit grade across the resolved holdout and active snapshot.</w:t>
      </w:r>
    </w:p>
    <w:p w14:paraId="1F1DFF0F" w14:textId="77777777" w:rsidR="00BA041F" w:rsidRDefault="00000000">
      <w:pPr/>
      <w:r>
        <w:t>The grade comparison makes clear that the active portfolio is not simply a scaled-up version of the resolved holdout. It remains concentrated in grades B through D, especially grade C, while the weakest grades carry high loan-level severity but smaller aggregate shares because fewer loans sit in those buckets.</w:t>
      </w:r>
    </w:p>
    <w:p w14:paraId="5CCEB133" w14:textId="77777777" w:rsidR="00BA041F" w:rsidRDefault="00000000">
      <w:r>
        <w:lastRenderedPageBreak/>
        <w:t>Figure 6.2 maps the interaction between underwriting grade and contractual maturity in the active snapshot.</w:t>
      </w:r>
    </w:p>
    <w:p w14:paraId="0070C7B3" w14:textId="77777777" w:rsidR="00BA041F" w:rsidRDefault="00000000">
      <w:pPr>
        <w:ind w:firstLine="0"/>
        <w:jc w:val="center"/>
      </w:pPr>
      <w:r>
        <w:rPr>
          <w:noProof/>
        </w:rPr>
        <w:drawing>
          <wp:inline distT="0" distB="0" distL="0" distR="0" wp14:anchorId="57BAE58B" wp14:editId="3804E81B">
            <wp:extent cx="5303520" cy="34881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e_term_heatmap.png"/>
                    <pic:cNvPicPr/>
                  </pic:nvPicPr>
                  <pic:blipFill>
                    <a:blip r:embed="rId21"/>
                    <a:stretch>
                      <a:fillRect/>
                    </a:stretch>
                  </pic:blipFill>
                  <pic:spPr>
                    <a:xfrm>
                      <a:off x="0" y="0"/>
                      <a:ext cx="5303520" cy="3488115"/>
                    </a:xfrm>
                    <a:prstGeom prst="rect">
                      <a:avLst/>
                    </a:prstGeom>
                  </pic:spPr>
                </pic:pic>
              </a:graphicData>
            </a:graphic>
          </wp:inline>
        </w:drawing>
      </w:r>
    </w:p>
    <w:p w14:paraId="01A9CD29" w14:textId="77777777" w:rsidR="00BA041F" w:rsidRDefault="00000000">
      <w:pPr>
        <w:pStyle w:val="CaptionAcademic"/>
      </w:pPr>
      <w:r>
        <w:t>Figure 6.2. Active-snapshot mean lifetime expected loss across credit grade and term.</w:t>
      </w:r>
    </w:p>
    <w:p w14:paraId="6A305B09" w14:textId="77777777" w:rsidR="00BA041F" w:rsidRDefault="00000000">
      <w:r>
        <w:t>The heatmap shows a strong interaction effect: within every grade, sixty-month loans have materially higher mean lifetime EL than thirty-six-month loans, and within each term bucket the mean EL rises sharply from investment-grade segments toward speculative-grade segments. This interaction is economically useful because it suggests that maturity and underwriting quality should be monitored jointly rather than in separate dashboards.</w:t>
      </w:r>
    </w:p>
    <w:p w14:paraId="5C215600" w14:textId="77777777" w:rsidR="00BA041F" w:rsidRDefault="00000000">
      <w:pPr>
        <w:pStyle w:val="Heading2"/>
        <w:jc w:val="left"/>
      </w:pPr>
      <w:r>
        <w:rPr>
          <w:rFonts w:ascii="Times New Roman" w:hAnsi="Times New Roman"/>
        </w:rPr>
        <w:t>6.4 Interpretation and Governance Value</w:t>
      </w:r>
    </w:p>
    <w:p w14:paraId="05ED148C" w14:textId="77777777" w:rsidR="00BA041F" w:rsidRDefault="00000000">
      <w:r>
        <w:t>From a governance perspective, the segmentation results imply that expected loss in this portfolio is structural and monitorable. It is structural because the dominant concentrations recur across the resolved holdout and the active snapshot. It is monitorable because the dominant drivers map to standard managerial buckets such as grade, maturity, purpose, and bureau quality. In other words, the segmentation layer converts the integrated PD-LGD-EAD framework into a set of reporting views that a risk committee could plausibly consume.</w:t>
      </w:r>
    </w:p>
    <w:p w14:paraId="7339EA77" w14:textId="77777777" w:rsidR="00BA041F" w:rsidRDefault="00000000">
      <w:r>
        <w:lastRenderedPageBreak/>
        <w:t>Equally important, the segmentation results expose what the present framework does not yet do. They identify where loss is concentrated, but they do not yet convert those concentrations into pricing spreads, capital charges, or scenario-conditioned stress losses. Those would be the natural next steps. For the purposes of the current paper, however, the segmentation chapter already demonstrates that the modeled expected loss is rich enough to support economically meaningful portfolio discussion rather than merely loan-level prediction.</w:t>
      </w:r>
    </w:p>
    <w:p w14:paraId="0FE4CC7F" w14:textId="77777777" w:rsidR="00BA041F" w:rsidRDefault="00BA041F">
      <w:pPr>
        <w:sectPr w:rsidR="00BA041F">
          <w:pgSz w:w="12240" w:h="15840"/>
          <w:pgMar w:top="1440" w:right="1440" w:bottom="1440" w:left="1440" w:header="720" w:footer="720" w:gutter="0"/>
          <w:cols w:space="720"/>
          <w:docGrid w:linePitch="360"/>
        </w:sectPr>
      </w:pPr>
    </w:p>
    <w:p w14:paraId="5785E1F4" w14:textId="77777777" w:rsidR="00BA041F" w:rsidRDefault="00000000">
      <w:pPr>
        <w:pStyle w:val="Heading1"/>
        <w:jc w:val="left"/>
      </w:pPr>
      <w:r>
        <w:rPr>
          <w:rFonts w:ascii="Times New Roman" w:hAnsi="Times New Roman"/>
        </w:rPr>
        <w:lastRenderedPageBreak/>
        <w:t>7. Risk-Based Pricing Design</w:t>
      </w:r>
    </w:p>
    <w:p w14:paraId="463A21DC" w14:textId="77777777" w:rsidR="00BA041F" w:rsidRDefault="00000000">
      <w:pPr>
        <w:pStyle w:val="Heading1"/>
        <w:jc w:val="left"/>
      </w:pPr>
      <w:r>
        <w:rPr>
          <w:rFonts w:ascii="Times New Roman" w:hAnsi="Times New Roman"/>
        </w:rPr>
        <w:t>8. Capital (Economic Capital) Estimation</w:t>
      </w:r>
    </w:p>
    <w:p w14:paraId="3F31D50E" w14:textId="77777777" w:rsidR="00BA041F" w:rsidRDefault="00000000">
      <w:pPr>
        <w:pStyle w:val="Heading1"/>
        <w:jc w:val="left"/>
      </w:pPr>
      <w:r>
        <w:rPr>
          <w:rFonts w:ascii="Times New Roman" w:hAnsi="Times New Roman"/>
        </w:rPr>
        <w:t>9. Backtesting and Visualization</w:t>
      </w:r>
    </w:p>
    <w:p w14:paraId="75C755A5" w14:textId="77777777" w:rsidR="00BA041F" w:rsidRDefault="00000000">
      <w:pPr>
        <w:pStyle w:val="Heading1"/>
        <w:jc w:val="left"/>
      </w:pPr>
      <w:r>
        <w:rPr>
          <w:rFonts w:ascii="Times New Roman" w:hAnsi="Times New Roman"/>
        </w:rPr>
        <w:t>10. Conclusion</w:t>
      </w:r>
    </w:p>
    <w:sectPr w:rsidR="00BA041F"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3150D" w14:textId="77777777" w:rsidR="00612A75" w:rsidRDefault="00612A75">
      <w:pPr>
        <w:spacing w:after="0" w:line="240" w:lineRule="auto"/>
      </w:pPr>
      <w:r>
        <w:separator/>
      </w:r>
    </w:p>
  </w:endnote>
  <w:endnote w:type="continuationSeparator" w:id="0">
    <w:p w14:paraId="001CC922" w14:textId="77777777" w:rsidR="00612A75" w:rsidRDefault="00612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BBB0E" w14:textId="77777777" w:rsidR="00BA041F" w:rsidRDefault="00000000">
    <w:pPr>
      <w:pStyle w:val="TableBodyAcademic"/>
      <w:jc w:val="center"/>
    </w:pPr>
    <w:r>
      <w:fldChar w:fldCharType="begin"/>
    </w:r>
    <w:r>
      <w:instrText xml:space="preserve"> PAGE </w:instrText>
    </w:r>
    <w:r>
      <w:fldChar w:fldCharType="separate"/>
    </w:r>
    <w:r w:rsidR="00C11BF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7BC5D" w14:textId="77777777" w:rsidR="00612A75" w:rsidRDefault="00612A75">
      <w:pPr>
        <w:spacing w:after="0" w:line="240" w:lineRule="auto"/>
      </w:pPr>
      <w:r>
        <w:separator/>
      </w:r>
    </w:p>
  </w:footnote>
  <w:footnote w:type="continuationSeparator" w:id="0">
    <w:p w14:paraId="0398E2EA" w14:textId="77777777" w:rsidR="00612A75" w:rsidRDefault="00612A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2149665">
    <w:abstractNumId w:val="8"/>
  </w:num>
  <w:num w:numId="2" w16cid:durableId="608045254">
    <w:abstractNumId w:val="6"/>
  </w:num>
  <w:num w:numId="3" w16cid:durableId="1571691488">
    <w:abstractNumId w:val="5"/>
  </w:num>
  <w:num w:numId="4" w16cid:durableId="1462726148">
    <w:abstractNumId w:val="4"/>
  </w:num>
  <w:num w:numId="5" w16cid:durableId="512299782">
    <w:abstractNumId w:val="7"/>
  </w:num>
  <w:num w:numId="6" w16cid:durableId="1653096611">
    <w:abstractNumId w:val="3"/>
  </w:num>
  <w:num w:numId="7" w16cid:durableId="2141652183">
    <w:abstractNumId w:val="2"/>
  </w:num>
  <w:num w:numId="8" w16cid:durableId="1632251668">
    <w:abstractNumId w:val="1"/>
  </w:num>
  <w:num w:numId="9" w16cid:durableId="391661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2A75"/>
    <w:rsid w:val="0072785A"/>
    <w:rsid w:val="00AA1D8D"/>
    <w:rsid w:val="00B47730"/>
    <w:rsid w:val="00BA041F"/>
    <w:rsid w:val="00C11BF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45C127"/>
  <w14:defaultImageDpi w14:val="300"/>
  <w15:docId w15:val="{0F23F9B6-0393-BC41-AC6E-5E566813A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ind w:firstLine="432"/>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80" w:after="120" w:line="240" w:lineRule="auto"/>
      <w:ind w:firstLine="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after="80" w:line="240" w:lineRule="auto"/>
      <w:ind w:firstLine="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40" w:line="240" w:lineRule="auto"/>
      <w:ind w:firstLine="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ind w:firstLine="432"/>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D9D9D9"/>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3DFEE"/>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D3DFEE"/>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D9D9D9"/>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D9D9D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D9D9D9"/>
      </w:tcPr>
    </w:tblStylePr>
    <w:tblStylePr w:type="lastCol">
      <w:rPr>
        <w:b/>
        <w:bCs/>
        <w:color w:val="FFFFFF"/>
      </w:rPr>
      <w:tblPr/>
      <w:tcPr>
        <w:tcBorders>
          <w:left w:val="nil"/>
          <w:right w:val="nil"/>
          <w:insideH w:val="nil"/>
          <w:insideV w:val="nil"/>
        </w:tcBorders>
        <w:shd w:val="clear" w:color="auto" w:fill="D9D9D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Theme="majorHAnsi" w:eastAsiaTheme="majorEastAsia" w:hAnsiTheme="majorHAnsi" w:cstheme="majorBidi"/>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Theme="majorHAnsi" w:eastAsiaTheme="majorEastAsia" w:hAnsiTheme="majorHAnsi" w:cstheme="majorBidi"/>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Theme="majorHAnsi" w:eastAsiaTheme="majorEastAsia" w:hAnsiTheme="majorHAnsi" w:cstheme="majorBidi"/>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Theme="majorHAnsi" w:eastAsiaTheme="majorEastAsia" w:hAnsiTheme="majorHAnsi" w:cstheme="majorBidi"/>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Theme="majorHAnsi" w:eastAsiaTheme="majorEastAsia" w:hAnsiTheme="majorHAnsi" w:cstheme="majorBidi"/>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000000"/>
          <w:insideV w:val="single" w:sz="6" w:space="0" w:color="000000"/>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D9D9D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D9D9D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D9D9D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D9D9D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D9D9D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D9D9D9"/>
      </w:tcPr>
    </w:tblStylePr>
    <w:tblStylePr w:type="lastCol">
      <w:tblPr/>
      <w:tcPr>
        <w:tcBorders>
          <w:top w:val="nil"/>
          <w:left w:val="single" w:sz="18" w:space="0" w:color="FFFFFF"/>
          <w:bottom w:val="nil"/>
          <w:right w:val="nil"/>
          <w:insideH w:val="nil"/>
          <w:insideV w:val="nil"/>
        </w:tcBorders>
        <w:shd w:val="clear" w:color="auto" w:fill="D9D9D9"/>
      </w:tcPr>
    </w:tblStylePr>
    <w:tblStylePr w:type="band1Vert">
      <w:tblPr/>
      <w:tcPr>
        <w:tcBorders>
          <w:top w:val="nil"/>
          <w:left w:val="nil"/>
          <w:bottom w:val="nil"/>
          <w:right w:val="nil"/>
          <w:insideH w:val="nil"/>
          <w:insideV w:val="nil"/>
        </w:tcBorders>
        <w:shd w:val="clear" w:color="auto" w:fill="D9D9D9"/>
      </w:tcPr>
    </w:tblStylePr>
    <w:tblStylePr w:type="band1Horz">
      <w:tblPr/>
      <w:tcPr>
        <w:tcBorders>
          <w:top w:val="nil"/>
          <w:left w:val="nil"/>
          <w:bottom w:val="nil"/>
          <w:right w:val="nil"/>
          <w:insideH w:val="nil"/>
          <w:insideV w:val="nil"/>
        </w:tcBorders>
        <w:shd w:val="clear" w:color="auto" w:fill="D9D9D9"/>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D9D9D9"/>
      </w:tcPr>
    </w:tblStylePr>
    <w:tblStylePr w:type="lastCol">
      <w:rPr>
        <w:color w:val="FFFFFF"/>
      </w:rPr>
      <w:tblPr/>
      <w:tcPr>
        <w:shd w:val="clear" w:color="auto" w:fill="D9D9D9"/>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PaperSubtitle">
    <w:name w:val="Paper Subtitle"/>
    <w:basedOn w:val="Normal"/>
    <w:pPr>
      <w:ind w:firstLine="0"/>
      <w:jc w:val="center"/>
    </w:pPr>
    <w:rPr>
      <w:i/>
    </w:rPr>
  </w:style>
  <w:style w:type="paragraph" w:customStyle="1" w:styleId="PaperTitle">
    <w:name w:val="Paper Title"/>
    <w:basedOn w:val="Normal"/>
    <w:pPr>
      <w:spacing w:after="280" w:line="240" w:lineRule="auto"/>
      <w:ind w:firstLine="0"/>
      <w:jc w:val="center"/>
    </w:pPr>
    <w:rPr>
      <w:b/>
      <w:sz w:val="32"/>
    </w:rPr>
  </w:style>
  <w:style w:type="paragraph" w:customStyle="1" w:styleId="CaptionAcademic">
    <w:name w:val="Caption Academic"/>
    <w:basedOn w:val="Normal"/>
    <w:pPr>
      <w:spacing w:line="240" w:lineRule="auto"/>
      <w:ind w:firstLine="0"/>
      <w:jc w:val="center"/>
    </w:pPr>
    <w:rPr>
      <w:i/>
      <w:sz w:val="22"/>
    </w:rPr>
  </w:style>
  <w:style w:type="paragraph" w:customStyle="1" w:styleId="TableBodyAcademic">
    <w:name w:val="Table Body Academic"/>
    <w:basedOn w:val="Normal"/>
    <w:pPr>
      <w:spacing w:after="0" w:line="240" w:lineRule="auto"/>
      <w:ind w:firstLine="0"/>
      <w:jc w:val="left"/>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3562</Words>
  <Characters>20304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Minlei Hao</cp:lastModifiedBy>
  <cp:revision>2</cp:revision>
  <dcterms:created xsi:type="dcterms:W3CDTF">2013-12-23T23:15:00Z</dcterms:created>
  <dcterms:modified xsi:type="dcterms:W3CDTF">2026-04-24T15:24:00Z</dcterms:modified>
  <cp:category/>
</cp:coreProperties>
</file>