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50A878">
      <w:pPr>
        <w:keepNext/>
        <w:widowControl w:val="0"/>
        <w:wordWrap w:val="0"/>
        <w:autoSpaceDE w:val="0"/>
        <w:autoSpaceDN w:val="0"/>
        <w:adjustRightInd w:val="0"/>
        <w:spacing w:before="152" w:beforeLines="50" w:line="240" w:lineRule="auto"/>
        <w:ind w:left="1682" w:hanging="1674" w:hangingChars="299"/>
        <w:jc w:val="right"/>
        <w:textAlignment w:val="auto"/>
        <w:outlineLvl w:val="0"/>
        <w:rPr>
          <w:rFonts w:hint="eastAsia" w:ascii="方正大黑简体" w:hAnsi="Arial" w:eastAsia="方正大黑简体" w:cs="Times New Roman"/>
          <w:color w:val="000000"/>
          <w:kern w:val="2"/>
          <w:sz w:val="52"/>
          <w:lang w:val="en-US" w:eastAsia="zh-CN" w:bidi="ar-SA"/>
        </w:rPr>
      </w:pPr>
      <w:r>
        <w:rPr>
          <w:rFonts w:hint="eastAsia" w:ascii="方正大黑简体" w:hAnsi="Arial" w:eastAsia="方正大黑简体" w:cs="Times New Roman"/>
          <w:color w:val="000000"/>
          <w:kern w:val="2"/>
          <w:sz w:val="56"/>
          <w:lang w:val="en-US" w:eastAsia="zh-CN" w:bidi="ar-SA"/>
        </w:rPr>
        <w:t xml:space="preserve">第 1 章 </w:t>
      </w:r>
    </w:p>
    <w:p w14:paraId="6B27CAFB">
      <w:pPr>
        <w:keepNext/>
        <w:widowControl w:val="0"/>
        <w:wordWrap w:val="0"/>
        <w:autoSpaceDE w:val="0"/>
        <w:autoSpaceDN w:val="0"/>
        <w:adjustRightInd w:val="0"/>
        <w:spacing w:before="305" w:beforeLines="100" w:line="240" w:lineRule="auto"/>
        <w:ind w:left="1682" w:hanging="1674" w:hangingChars="299"/>
        <w:jc w:val="right"/>
        <w:textAlignment w:val="auto"/>
        <w:outlineLvl w:val="0"/>
        <w:rPr>
          <w:rFonts w:hint="eastAsia" w:ascii="宋体" w:hAnsi="宋体" w:eastAsia="宋体" w:cs="宋体"/>
          <w:lang w:val="en-US" w:eastAsia="zh-CN"/>
        </w:rPr>
      </w:pPr>
      <w:r>
        <w:rPr>
          <w:rFonts w:hint="eastAsia" w:ascii="方正大黑简体" w:hAnsi="Arial" w:eastAsia="方正大黑简体" w:cs="Times New Roman"/>
          <w:color w:val="000000"/>
          <w:kern w:val="2"/>
          <w:sz w:val="56"/>
          <w:lang w:val="en-US" w:eastAsia="zh-CN" w:bidi="ar-SA"/>
        </w:rPr>
        <w:t>文生文工具篇</w:t>
      </w:r>
      <w:r>
        <w:rPr>
          <w:rFonts w:ascii="方正大黑简体" w:hAnsi="Arial" w:eastAsia="方正大黑简体" w:cs="Times New Roman"/>
          <w:color w:val="000000"/>
          <w:kern w:val="2"/>
          <w:sz w:val="56"/>
          <w:lang w:val="en-US" w:eastAsia="zh-CN" w:bidi="ar-SA"/>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62865</wp:posOffset>
                </wp:positionV>
                <wp:extent cx="4823460" cy="53975"/>
                <wp:effectExtent l="0" t="0" r="15240" b="3175"/>
                <wp:wrapNone/>
                <wp:docPr id="6" name="矩形 6"/>
                <wp:cNvGraphicFramePr/>
                <a:graphic xmlns:a="http://schemas.openxmlformats.org/drawingml/2006/main">
                  <a:graphicData uri="http://schemas.microsoft.com/office/word/2010/wordprocessingShape">
                    <wps:wsp>
                      <wps:cNvSpPr/>
                      <wps:spPr>
                        <a:xfrm>
                          <a:off x="0" y="0"/>
                          <a:ext cx="4823460" cy="53975"/>
                        </a:xfrm>
                        <a:prstGeom prst="rect">
                          <a:avLst/>
                        </a:prstGeom>
                        <a:solidFill>
                          <a:srgbClr val="C0C0C0"/>
                        </a:solidFill>
                        <a:ln>
                          <a:noFill/>
                        </a:ln>
                      </wps:spPr>
                      <wps:bodyPr upright="1"/>
                    </wps:wsp>
                  </a:graphicData>
                </a:graphic>
              </wp:anchor>
            </w:drawing>
          </mc:Choice>
          <mc:Fallback>
            <w:pict>
              <v:rect id="_x0000_s1026" o:spid="_x0000_s1026" o:spt="1" style="position:absolute;left:0pt;margin-left:0pt;margin-top:4.95pt;height:4.25pt;width:379.8pt;z-index:251659264;mso-width-relative:page;mso-height-relative:page;" fillcolor="#C0C0C0" filled="t" stroked="f" coordsize="21600,21600" o:gfxdata="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7mBZ9QA&#10;AAAFAQAADwAAAAAAAAABACAAAAAiAAAAZHJzL2Rvd25yZXYueG1sUEsBAhQAFAAAAAgAh07iQAZp&#10;MhyxAQAAXgMAAA4AAAAAAAAAAQAgAAAAIwEAAGRycy9lMm9Eb2MueG1sUEsFBgAAAAAGAAYAWQEA&#10;AEYFAAAAAA==&#10;">
                <v:fill on="t" focussize="0,0"/>
                <v:stroke on="f"/>
                <v:imagedata o:title=""/>
                <o:lock v:ext="edit" aspectratio="f"/>
              </v:rect>
            </w:pict>
          </mc:Fallback>
        </mc:AlternateContent>
      </w:r>
      <w:r>
        <w:rPr>
          <w:rFonts w:hint="eastAsia" w:ascii="方正大黑简体" w:hAnsi="Arial" w:eastAsia="方正大黑简体" w:cs="Times New Roman"/>
          <w:color w:val="000000"/>
          <w:kern w:val="2"/>
          <w:sz w:val="56"/>
          <w:lang w:val="en-US" w:eastAsia="zh-CN" w:bidi="ar-SA"/>
        </w:rPr>
        <w:t xml:space="preserve"> </w:t>
      </w:r>
    </w:p>
    <w:p w14:paraId="4E33F3CD">
      <w:pPr>
        <w:bidi w:val="0"/>
        <w:rPr>
          <w:rFonts w:hint="eastAsia" w:ascii="宋体" w:hAnsi="宋体" w:eastAsia="宋体" w:cs="宋体"/>
          <w:lang w:val="en-US" w:eastAsia="zh-CN"/>
        </w:rPr>
      </w:pPr>
    </w:p>
    <w:p w14:paraId="0206EE33">
      <w:pPr>
        <w:bidi w:val="0"/>
        <w:rPr>
          <w:rFonts w:hint="eastAsia" w:ascii="宋体" w:hAnsi="宋体" w:eastAsia="宋体" w:cs="宋体"/>
          <w:lang w:val="en-US" w:eastAsia="zh-CN"/>
        </w:rPr>
      </w:pPr>
    </w:p>
    <w:p w14:paraId="467487A9">
      <w:pPr>
        <w:bidi w:val="0"/>
        <w:rPr>
          <w:rFonts w:hint="eastAsia" w:ascii="宋体" w:hAnsi="宋体" w:eastAsia="宋体" w:cs="宋体"/>
          <w:lang w:val="en-US" w:eastAsia="zh-CN"/>
        </w:rPr>
      </w:pPr>
    </w:p>
    <w:p w14:paraId="6C7CD804">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亲爱的读者：近年来AI的发展日新月异，优秀的大语言模型和智能体层出不穷，所以我们仅挑选了目前具有代表性的部分AI大模型进行示范，还有更多更新更好的AI工具，我们将定期更新到本书电子版，跟大家推荐交流。另外，本书作为工具篇从实用性考虑，将更多的篇幅留给使用操作层面的示范和建议，有兴趣的读者可以在本书电子版展开延伸阅读，探索和分享AI给我们带来的更多可能。</w:t>
      </w:r>
    </w:p>
    <w:p w14:paraId="091CBF9A">
      <w:pPr>
        <w:keepNext/>
        <w:keepLines/>
        <w:widowControl w:val="0"/>
        <w:adjustRightInd w:val="0"/>
        <w:spacing w:before="305" w:beforeLines="100" w:after="305" w:afterLines="100" w:line="240" w:lineRule="auto"/>
        <w:ind w:left="0" w:leftChars="0" w:firstLine="0" w:firstLineChars="0"/>
        <w:jc w:val="left"/>
        <w:textAlignment w:val="center"/>
        <w:outlineLvl w:val="1"/>
        <w:rPr>
          <w:rFonts w:hint="eastAsia" w:ascii="Times New Roman" w:hAnsi="Times New Roman" w:eastAsia="楷体_GB2312" w:cs="Times New Roman"/>
          <w:b/>
          <w:color w:val="000000"/>
          <w:sz w:val="36"/>
          <w:szCs w:val="28"/>
          <w:lang w:val="en-US" w:eastAsia="zh-CN" w:bidi="ar-SA"/>
        </w:rPr>
      </w:pPr>
      <w:r>
        <w:rPr>
          <w:rFonts w:hint="eastAsia" w:ascii="Times New Roman" w:hAnsi="Times New Roman" w:eastAsia="楷体_GB2312" w:cs="Times New Roman"/>
          <w:b/>
          <w:color w:val="000000"/>
          <w:sz w:val="36"/>
          <w:szCs w:val="28"/>
          <w:lang w:val="en-US" w:eastAsia="zh-CN" w:bidi="ar-SA"/>
        </w:rPr>
        <w:t>1.1</w:t>
      </w:r>
      <w:r>
        <w:rPr>
          <w:rFonts w:ascii="Times New Roman" w:hAnsi="Times New Roman" w:eastAsia="楷体_GB2312" w:cs="Times New Roman"/>
          <w:b/>
          <w:color w:val="000000"/>
          <w:sz w:val="36"/>
          <w:szCs w:val="28"/>
          <w:lang w:val="en-US" w:eastAsia="zh-CN" w:bidi="ar-SA"/>
        </w:rPr>
        <w:t xml:space="preserve">  </w:t>
      </w:r>
      <w:r>
        <w:rPr>
          <w:rFonts w:hint="eastAsia" w:ascii="Times New Roman" w:hAnsi="Times New Roman" w:eastAsia="楷体_GB2312" w:cs="Times New Roman"/>
          <w:b/>
          <w:color w:val="000000"/>
          <w:sz w:val="36"/>
          <w:szCs w:val="28"/>
          <w:lang w:val="en-US" w:eastAsia="zh-CN" w:bidi="ar-SA"/>
        </w:rPr>
        <w:t>AI发展与商科的渊源</w:t>
      </w:r>
    </w:p>
    <w:p w14:paraId="26B723E2">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许多商科院系均有开设统计学课程，统计学是诸多商科专业的重要组成部分，所以统计学也可以被视为商科的一部分，尤其是在商业分析和数据科学等领域，而统计学则始终是AI发展历程中的重要基石。以量化交易领域为例，大名鼎鼎的DeepSeek母公司幻方就是通过人工智能统计分析市场数据，实现高频交易策略优化并借此为DeepSeek的研发提供了重要的经济基础和技术储备，这充分体现了商科特别是金融、管理、统计专业中如回归分析、时间序列模型、风险控制框架等基础理论与AI算法的结合，都对AI的发展起到了至关重要的作用。</w:t>
      </w:r>
    </w:p>
    <w:p w14:paraId="16B1FAC5">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随着AI在教研场景的落地，对方法和价值观的培养会比单纯知识的传授变得更为重要。2020年至今是AI高速发展的窗口期，利用AI反哺商科教学，培养更多善用AI的复合型专业人才，形成商科教研与AI同生共长的迭代进化，势在必行。</w:t>
      </w:r>
    </w:p>
    <w:p w14:paraId="057E0D7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在AI辅助商科教研的诸多场景中，AIGC是我们要首先掌握的数字素养和基本功。AIGC（AI-Generated Content，人工智能生成内容）是近年来随着AI技术突破而兴起的内容生产模式，其核心是通过算法模型自动或辅助生成文本、图像等内容。</w:t>
      </w:r>
    </w:p>
    <w:p w14:paraId="50851C5B">
      <w:pPr>
        <w:widowControl w:val="0"/>
        <w:adjustRightInd/>
        <w:spacing w:line="332" w:lineRule="atLeast"/>
        <w:ind w:firstLine="420"/>
        <w:jc w:val="both"/>
        <w:textAlignment w:val="auto"/>
        <w:rPr>
          <w:rFonts w:hint="eastAsia" w:ascii="宋体" w:hAnsi="宋体" w:eastAsia="宋体" w:cs="宋体"/>
          <w:i w:val="0"/>
          <w:iCs w:val="0"/>
          <w:caps w:val="0"/>
          <w:spacing w:val="0"/>
          <w:sz w:val="21"/>
          <w:szCs w:val="21"/>
          <w:shd w:val="clear" w:fill="FFFFFF"/>
        </w:rPr>
      </w:pPr>
      <w:r>
        <w:rPr>
          <w:rFonts w:hint="eastAsia" w:ascii="Times New Roman" w:hAnsi="Times New Roman" w:eastAsia="宋体" w:cs="Times New Roman"/>
          <w:kern w:val="2"/>
          <w:sz w:val="21"/>
          <w:lang w:val="en-US" w:eastAsia="zh-CN" w:bidi="ar-SA"/>
        </w:rPr>
        <w:t>目前，主流AIGC多是基于Transformer架构通过“预训练－微调－推理”的流程来实现的，如DeepSeek、豆包、Qwen、文心一言、ChatGPT、Grok等大语言模型，即梦、通义万相、Midjourney等多模态模型则实现了文本之外的图像、视频等更多领域创作，极大地提升了生产效率。</w:t>
      </w:r>
    </w:p>
    <w:p w14:paraId="5EA4E902">
      <w:pPr>
        <w:pStyle w:val="24"/>
        <w:bidi w:val="0"/>
        <w:rPr>
          <w:rFonts w:hint="eastAsia"/>
          <w:lang w:val="en-US" w:eastAsia="zh-CN"/>
        </w:rPr>
      </w:pPr>
      <w:r>
        <w:rPr>
          <w:rFonts w:hint="eastAsia"/>
          <w:lang w:val="en-US" w:eastAsia="zh-CN"/>
        </w:rPr>
        <w:t>1.2</w:t>
      </w:r>
      <w:r>
        <w:rPr>
          <w:lang w:val="en-US" w:eastAsia="zh-CN"/>
        </w:rPr>
        <w:t xml:space="preserve">  </w:t>
      </w:r>
      <w:r>
        <w:rPr>
          <w:rFonts w:hint="eastAsia"/>
          <w:lang w:val="en-US" w:eastAsia="zh-CN"/>
        </w:rPr>
        <w:t>AIGC文生文工具</w:t>
      </w:r>
    </w:p>
    <w:p w14:paraId="574F2997">
      <w:pPr>
        <w:widowControl w:val="0"/>
        <w:adjustRightInd/>
        <w:spacing w:line="332" w:lineRule="atLeast"/>
        <w:ind w:firstLine="420"/>
        <w:jc w:val="both"/>
        <w:textAlignment w:val="auto"/>
        <w:rPr>
          <w:rFonts w:hint="default" w:ascii="宋体" w:hAnsi="宋体" w:eastAsia="宋体" w:cs="宋体"/>
          <w:i w:val="0"/>
          <w:iCs w:val="0"/>
          <w:caps w:val="0"/>
          <w:color w:val="FF000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AIGC在教研领域应用频率最高的操作就是文生文，也就是AI根据人类的文字要求来生成文字。</w:t>
      </w:r>
      <w:r>
        <w:rPr>
          <w:rFonts w:hint="default" w:ascii="Times New Roman" w:hAnsi="Times New Roman" w:eastAsia="宋体" w:cs="Times New Roman"/>
          <w:kern w:val="2"/>
          <w:sz w:val="21"/>
          <w:lang w:val="en-US" w:eastAsia="zh-CN" w:bidi="ar-SA"/>
        </w:rPr>
        <w:t>依据《互联网信息服务算法推荐管理规定》</w:t>
      </w:r>
      <w:r>
        <w:rPr>
          <w:rFonts w:hint="eastAsia" w:ascii="Times New Roman" w:hAnsi="Times New Roman" w:eastAsia="宋体" w:cs="Times New Roman"/>
          <w:kern w:val="2"/>
          <w:sz w:val="21"/>
          <w:lang w:val="en-US" w:eastAsia="zh-CN" w:bidi="ar-SA"/>
        </w:rPr>
        <w:t>要求，截止</w:t>
      </w:r>
      <w:r>
        <w:rPr>
          <w:rFonts w:hint="default" w:ascii="Times New Roman" w:hAnsi="Times New Roman" w:eastAsia="宋体" w:cs="Times New Roman"/>
          <w:kern w:val="2"/>
          <w:sz w:val="21"/>
          <w:lang w:val="en-US" w:eastAsia="zh-CN" w:bidi="ar-SA"/>
        </w:rPr>
        <w:t>至2025年3月31日</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已有3</w:t>
      </w:r>
      <w:r>
        <w:rPr>
          <w:rFonts w:hint="eastAsia" w:ascii="Times New Roman" w:hAnsi="Times New Roman" w:eastAsia="宋体" w:cs="Times New Roman"/>
          <w:kern w:val="2"/>
          <w:sz w:val="21"/>
          <w:lang w:val="en-US" w:eastAsia="zh-CN" w:bidi="ar-SA"/>
        </w:rPr>
        <w:t>00多</w:t>
      </w:r>
      <w:r>
        <w:rPr>
          <w:rFonts w:hint="default" w:ascii="Times New Roman" w:hAnsi="Times New Roman" w:eastAsia="宋体" w:cs="Times New Roman"/>
          <w:kern w:val="2"/>
          <w:sz w:val="21"/>
          <w:lang w:val="en-US" w:eastAsia="zh-CN" w:bidi="ar-SA"/>
        </w:rPr>
        <w:t>款生成式人工智能服务通过国家网信办</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备案</w:t>
      </w:r>
      <w:r>
        <w:rPr>
          <w:rFonts w:hint="eastAsia" w:ascii="Times New Roman" w:hAnsi="Times New Roman" w:eastAsia="宋体" w:cs="Times New Roman"/>
          <w:kern w:val="2"/>
          <w:sz w:val="21"/>
          <w:lang w:val="en-US" w:eastAsia="zh-CN" w:bidi="ar-SA"/>
        </w:rPr>
        <w:t>，其中有很多产品专攻教研场景，如</w:t>
      </w:r>
      <w:r>
        <w:rPr>
          <w:rFonts w:hint="default" w:ascii="Times New Roman" w:hAnsi="Times New Roman" w:eastAsia="宋体" w:cs="Times New Roman"/>
          <w:kern w:val="2"/>
          <w:sz w:val="21"/>
          <w:lang w:val="en-US" w:eastAsia="zh-CN" w:bidi="ar-SA"/>
        </w:rPr>
        <w:t>龙凤教育大模型</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Lo</w:t>
      </w:r>
      <w:r>
        <w:rPr>
          <w:rFonts w:hint="eastAsia" w:ascii="Times New Roman" w:hAnsi="Times New Roman" w:eastAsia="宋体" w:cs="Times New Roman"/>
          <w:kern w:val="2"/>
          <w:sz w:val="21"/>
          <w:lang w:val="en-US" w:eastAsia="zh-CN" w:bidi="ar-SA"/>
        </w:rPr>
        <w:t>V</w:t>
      </w:r>
      <w:r>
        <w:rPr>
          <w:rFonts w:hint="default" w:ascii="Times New Roman" w:hAnsi="Times New Roman" w:eastAsia="宋体" w:cs="Times New Roman"/>
          <w:kern w:val="2"/>
          <w:sz w:val="21"/>
          <w:lang w:val="en-US" w:eastAsia="zh-CN" w:bidi="ar-SA"/>
        </w:rPr>
        <w:t>ong</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智海三乐教育垂直大模型</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九章大模型</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MathGPT</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子曰大模型</w:t>
      </w:r>
      <w:r>
        <w:rPr>
          <w:rFonts w:hint="eastAsia" w:ascii="Times New Roman" w:hAnsi="Times New Roman" w:eastAsia="宋体" w:cs="Times New Roman"/>
          <w:kern w:val="2"/>
          <w:sz w:val="21"/>
          <w:lang w:val="en-US" w:eastAsia="zh-CN" w:bidi="ar-SA"/>
        </w:rPr>
        <w:t>等，在种类繁多的AI产品市场上，选择适合的AI工具是我们开启AI辅助教研的第一步。</w:t>
      </w:r>
    </w:p>
    <w:p w14:paraId="037E4F15">
      <w:pPr>
        <w:pStyle w:val="23"/>
        <w:bidi w:val="0"/>
        <w:rPr>
          <w:rFonts w:hint="eastAsia"/>
          <w:lang w:val="en-US" w:eastAsia="zh-CN"/>
        </w:rPr>
      </w:pPr>
      <w:r>
        <w:rPr>
          <w:rFonts w:hint="eastAsia"/>
          <w:lang w:val="en-US" w:eastAsia="zh-CN"/>
        </w:rPr>
        <w:t>1</w:t>
      </w:r>
      <w:r>
        <w:rPr>
          <w:lang w:val="en-US" w:eastAsia="zh-CN"/>
        </w:rPr>
        <w:t>.</w:t>
      </w:r>
      <w:r>
        <w:rPr>
          <w:rFonts w:hint="eastAsia"/>
          <w:lang w:val="en-US" w:eastAsia="zh-CN"/>
        </w:rPr>
        <w:t>2</w:t>
      </w:r>
      <w:r>
        <w:rPr>
          <w:lang w:val="en-US" w:eastAsia="zh-CN"/>
        </w:rPr>
        <w:t>.</w:t>
      </w:r>
      <w:r>
        <w:rPr>
          <w:rFonts w:hint="eastAsia"/>
          <w:lang w:val="en-US" w:eastAsia="zh-CN"/>
        </w:rPr>
        <w:t>1  选择文本生工具的主要技术指标</w:t>
      </w:r>
    </w:p>
    <w:p w14:paraId="76A0741B">
      <w:pPr>
        <w:widowControl w:val="0"/>
        <w:adjustRightInd/>
        <w:spacing w:line="332" w:lineRule="atLeast"/>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首先，要关注</w:t>
      </w:r>
      <w:r>
        <w:rPr>
          <w:rFonts w:hint="default" w:ascii="Times New Roman" w:hAnsi="Times New Roman" w:eastAsia="宋体" w:cs="Times New Roman"/>
          <w:kern w:val="2"/>
          <w:sz w:val="21"/>
          <w:lang w:val="en-US" w:eastAsia="zh-CN" w:bidi="ar-SA"/>
        </w:rPr>
        <w:t>模型</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基础参数</w:t>
      </w:r>
      <w:r>
        <w:rPr>
          <w:rFonts w:hint="eastAsia" w:ascii="Times New Roman" w:hAnsi="Times New Roman" w:eastAsia="宋体" w:cs="Times New Roman"/>
          <w:kern w:val="2"/>
          <w:sz w:val="21"/>
          <w:lang w:val="en-US" w:eastAsia="zh-CN" w:bidi="ar-SA"/>
        </w:rPr>
        <w:t>，如该AI版本的</w:t>
      </w:r>
      <w:r>
        <w:rPr>
          <w:rFonts w:hint="default" w:ascii="Times New Roman" w:hAnsi="Times New Roman" w:eastAsia="宋体" w:cs="Times New Roman"/>
          <w:kern w:val="2"/>
          <w:sz w:val="21"/>
          <w:lang w:val="en-US" w:eastAsia="zh-CN" w:bidi="ar-SA"/>
        </w:rPr>
        <w:t>训练时间、参数量直接反映模型的训练规模与复杂度</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训练数据截止时间则决定模型</w:t>
      </w:r>
      <w:r>
        <w:rPr>
          <w:rFonts w:hint="eastAsia" w:ascii="Times New Roman" w:hAnsi="Times New Roman" w:eastAsia="宋体" w:cs="Times New Roman"/>
          <w:kern w:val="2"/>
          <w:sz w:val="21"/>
          <w:lang w:val="en-US" w:eastAsia="zh-CN" w:bidi="ar-SA"/>
        </w:rPr>
        <w:t>自有</w:t>
      </w:r>
      <w:r>
        <w:rPr>
          <w:rFonts w:hint="default" w:ascii="Times New Roman" w:hAnsi="Times New Roman" w:eastAsia="宋体" w:cs="Times New Roman"/>
          <w:kern w:val="2"/>
          <w:sz w:val="21"/>
          <w:lang w:val="en-US" w:eastAsia="zh-CN" w:bidi="ar-SA"/>
        </w:rPr>
        <w:t>的“知识边界”，需重点关注。此外，上下文窗口长度（如4k/8k/100k Token）影响长文本处理能力，</w:t>
      </w:r>
      <w:r>
        <w:rPr>
          <w:rFonts w:hint="eastAsia" w:ascii="Times New Roman" w:hAnsi="Times New Roman" w:eastAsia="宋体" w:cs="Times New Roman"/>
          <w:kern w:val="2"/>
          <w:sz w:val="21"/>
          <w:lang w:val="en-US" w:eastAsia="zh-CN" w:bidi="ar-SA"/>
        </w:rPr>
        <w:t>上下文</w:t>
      </w:r>
      <w:r>
        <w:rPr>
          <w:rFonts w:hint="default" w:ascii="Times New Roman" w:hAnsi="Times New Roman" w:eastAsia="宋体" w:cs="Times New Roman"/>
          <w:kern w:val="2"/>
          <w:sz w:val="21"/>
          <w:lang w:val="en-US" w:eastAsia="zh-CN" w:bidi="ar-SA"/>
        </w:rPr>
        <w:t>窗口过小可能导致关键信息丢失。</w:t>
      </w:r>
    </w:p>
    <w:p w14:paraId="12B62B42">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其次，要考量模型的</w:t>
      </w:r>
      <w:r>
        <w:rPr>
          <w:rFonts w:hint="default" w:ascii="Times New Roman" w:hAnsi="Times New Roman" w:eastAsia="宋体" w:cs="Times New Roman"/>
          <w:kern w:val="2"/>
          <w:sz w:val="21"/>
          <w:lang w:val="en-US" w:eastAsia="zh-CN" w:bidi="ar-SA"/>
        </w:rPr>
        <w:t>数据质量</w:t>
      </w:r>
      <w:r>
        <w:rPr>
          <w:rFonts w:hint="eastAsia" w:ascii="Times New Roman" w:hAnsi="Times New Roman" w:eastAsia="宋体" w:cs="Times New Roman"/>
          <w:kern w:val="2"/>
          <w:sz w:val="21"/>
          <w:lang w:val="en-US" w:eastAsia="zh-CN" w:bidi="ar-SA"/>
        </w:rPr>
        <w:t>和数量，</w:t>
      </w:r>
      <w:r>
        <w:rPr>
          <w:rFonts w:hint="default" w:ascii="Times New Roman" w:hAnsi="Times New Roman" w:eastAsia="宋体" w:cs="Times New Roman"/>
          <w:kern w:val="2"/>
          <w:sz w:val="21"/>
          <w:lang w:val="en-US" w:eastAsia="zh-CN" w:bidi="ar-SA"/>
        </w:rPr>
        <w:t>训练数据规模与多样性至关重要，</w:t>
      </w:r>
      <w:r>
        <w:rPr>
          <w:rFonts w:hint="eastAsia" w:ascii="Times New Roman" w:hAnsi="Times New Roman" w:eastAsia="宋体" w:cs="Times New Roman"/>
          <w:kern w:val="2"/>
          <w:sz w:val="21"/>
          <w:lang w:val="en-US" w:eastAsia="zh-CN" w:bidi="ar-SA"/>
        </w:rPr>
        <w:t>如</w:t>
      </w:r>
      <w:r>
        <w:rPr>
          <w:rFonts w:hint="default" w:ascii="Times New Roman" w:hAnsi="Times New Roman" w:eastAsia="宋体" w:cs="Times New Roman"/>
          <w:kern w:val="2"/>
          <w:sz w:val="21"/>
          <w:lang w:val="en-US" w:eastAsia="zh-CN" w:bidi="ar-SA"/>
        </w:rPr>
        <w:t>万亿Token级数据量、多领域覆盖及多语言支持，能提升模型对特定场景的适配性。</w:t>
      </w:r>
    </w:p>
    <w:p w14:paraId="0E6C9231">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最后，还要考虑模型的个性化</w:t>
      </w:r>
      <w:r>
        <w:rPr>
          <w:rFonts w:hint="default" w:ascii="Times New Roman" w:hAnsi="Times New Roman" w:eastAsia="宋体" w:cs="Times New Roman"/>
          <w:kern w:val="2"/>
          <w:sz w:val="21"/>
          <w:lang w:val="en-US" w:eastAsia="zh-CN" w:bidi="ar-SA"/>
        </w:rPr>
        <w:t>定制能力</w:t>
      </w:r>
      <w:r>
        <w:rPr>
          <w:rFonts w:hint="eastAsia" w:ascii="Times New Roman" w:hAnsi="Times New Roman" w:eastAsia="宋体" w:cs="Times New Roman"/>
          <w:kern w:val="2"/>
          <w:sz w:val="21"/>
          <w:lang w:val="en-US" w:eastAsia="zh-CN" w:bidi="ar-SA"/>
        </w:rPr>
        <w:t>，如</w:t>
      </w:r>
      <w:r>
        <w:rPr>
          <w:rFonts w:hint="default" w:ascii="Times New Roman" w:hAnsi="Times New Roman" w:eastAsia="宋体" w:cs="Times New Roman"/>
          <w:kern w:val="2"/>
          <w:sz w:val="21"/>
          <w:lang w:val="en-US" w:eastAsia="zh-CN" w:bidi="ar-SA"/>
        </w:rPr>
        <w:t>微调与定制能力是衡量工具灵活性的</w:t>
      </w:r>
      <w:r>
        <w:rPr>
          <w:rFonts w:hint="eastAsia" w:ascii="Times New Roman" w:hAnsi="Times New Roman" w:eastAsia="宋体" w:cs="Times New Roman"/>
          <w:kern w:val="2"/>
          <w:sz w:val="21"/>
          <w:lang w:val="en-US" w:eastAsia="zh-CN" w:bidi="ar-SA"/>
        </w:rPr>
        <w:t>体现</w:t>
      </w:r>
      <w:r>
        <w:rPr>
          <w:rFonts w:hint="default" w:ascii="Times New Roman" w:hAnsi="Times New Roman" w:eastAsia="宋体" w:cs="Times New Roman"/>
          <w:kern w:val="2"/>
          <w:sz w:val="21"/>
          <w:lang w:val="en-US" w:eastAsia="zh-CN" w:bidi="ar-SA"/>
        </w:rPr>
        <w:t>，包括是否支持基于</w:t>
      </w:r>
      <w:r>
        <w:rPr>
          <w:rFonts w:hint="eastAsia" w:ascii="Times New Roman" w:hAnsi="Times New Roman" w:eastAsia="宋体" w:cs="Times New Roman"/>
          <w:kern w:val="2"/>
          <w:sz w:val="21"/>
          <w:lang w:val="en-US" w:eastAsia="zh-CN" w:bidi="ar-SA"/>
        </w:rPr>
        <w:t>私域</w:t>
      </w:r>
      <w:r>
        <w:rPr>
          <w:rFonts w:hint="default" w:ascii="Times New Roman" w:hAnsi="Times New Roman" w:eastAsia="宋体" w:cs="Times New Roman"/>
          <w:kern w:val="2"/>
          <w:sz w:val="21"/>
          <w:lang w:val="en-US" w:eastAsia="zh-CN" w:bidi="ar-SA"/>
        </w:rPr>
        <w:t>数据</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微调及调整后性能</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提升幅度。对于</w:t>
      </w:r>
      <w:r>
        <w:rPr>
          <w:rFonts w:hint="eastAsia" w:ascii="Times New Roman" w:hAnsi="Times New Roman" w:eastAsia="宋体" w:cs="Times New Roman"/>
          <w:kern w:val="2"/>
          <w:sz w:val="21"/>
          <w:lang w:val="en-US" w:eastAsia="zh-CN" w:bidi="ar-SA"/>
        </w:rPr>
        <w:t>某些暂时不便公开的</w:t>
      </w:r>
      <w:r>
        <w:rPr>
          <w:rFonts w:hint="default" w:ascii="Times New Roman" w:hAnsi="Times New Roman" w:eastAsia="宋体" w:cs="Times New Roman"/>
          <w:kern w:val="2"/>
          <w:sz w:val="21"/>
          <w:lang w:val="en-US" w:eastAsia="zh-CN" w:bidi="ar-SA"/>
        </w:rPr>
        <w:t>科研场景，</w:t>
      </w:r>
      <w:r>
        <w:rPr>
          <w:rFonts w:hint="eastAsia" w:ascii="Times New Roman" w:hAnsi="Times New Roman" w:eastAsia="宋体" w:cs="Times New Roman"/>
          <w:kern w:val="2"/>
          <w:sz w:val="21"/>
          <w:lang w:val="en-US" w:eastAsia="zh-CN" w:bidi="ar-SA"/>
        </w:rPr>
        <w:t>可私有化独立部署、维护升级成本等维度，</w:t>
      </w:r>
      <w:r>
        <w:rPr>
          <w:rFonts w:hint="default" w:ascii="Times New Roman" w:hAnsi="Times New Roman" w:eastAsia="宋体" w:cs="Times New Roman"/>
          <w:kern w:val="2"/>
          <w:sz w:val="21"/>
          <w:lang w:val="en-US" w:eastAsia="zh-CN" w:bidi="ar-SA"/>
        </w:rPr>
        <w:t>同样值得</w:t>
      </w:r>
      <w:r>
        <w:rPr>
          <w:rFonts w:hint="eastAsia" w:ascii="Times New Roman" w:hAnsi="Times New Roman" w:eastAsia="宋体" w:cs="Times New Roman"/>
          <w:kern w:val="2"/>
          <w:sz w:val="21"/>
          <w:lang w:val="en-US" w:eastAsia="zh-CN" w:bidi="ar-SA"/>
        </w:rPr>
        <w:t>考量</w:t>
      </w:r>
      <w:r>
        <w:rPr>
          <w:rFonts w:hint="default" w:ascii="Times New Roman" w:hAnsi="Times New Roman" w:eastAsia="宋体" w:cs="Times New Roman"/>
          <w:kern w:val="2"/>
          <w:sz w:val="21"/>
          <w:lang w:val="en-US" w:eastAsia="zh-CN" w:bidi="ar-SA"/>
        </w:rPr>
        <w:t>。</w:t>
      </w:r>
    </w:p>
    <w:p w14:paraId="5BE4DAB8">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需要注意的是，</w:t>
      </w:r>
      <w:r>
        <w:rPr>
          <w:rFonts w:hint="default" w:ascii="Times New Roman" w:hAnsi="Times New Roman" w:eastAsia="宋体" w:cs="Times New Roman"/>
          <w:kern w:val="2"/>
          <w:sz w:val="21"/>
          <w:lang w:val="en-US" w:eastAsia="zh-CN" w:bidi="ar-SA"/>
        </w:rPr>
        <w:t>数据时效的重要性是与具体使用场景的“信息更新频率”</w:t>
      </w:r>
      <w:r>
        <w:rPr>
          <w:rFonts w:hint="eastAsia" w:ascii="Times New Roman" w:hAnsi="Times New Roman" w:eastAsia="宋体" w:cs="Times New Roman"/>
          <w:kern w:val="2"/>
          <w:sz w:val="21"/>
          <w:lang w:val="en-US" w:eastAsia="zh-CN" w:bidi="ar-SA"/>
        </w:rPr>
        <w:t>是</w:t>
      </w:r>
      <w:r>
        <w:rPr>
          <w:rFonts w:hint="default" w:ascii="Times New Roman" w:hAnsi="Times New Roman" w:eastAsia="宋体" w:cs="Times New Roman"/>
          <w:kern w:val="2"/>
          <w:sz w:val="21"/>
          <w:lang w:val="en-US" w:eastAsia="zh-CN" w:bidi="ar-SA"/>
        </w:rPr>
        <w:t>强相关</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w:t>
      </w:r>
    </w:p>
    <w:p w14:paraId="220E9E34">
      <w:pPr>
        <w:widowControl w:val="0"/>
        <w:adjustRightInd w:val="0"/>
        <w:spacing w:before="152" w:beforeLines="50" w:line="332" w:lineRule="atLeast"/>
        <w:ind w:firstLine="0"/>
        <w:jc w:val="center"/>
        <w:textAlignment w:val="baseline"/>
        <w:rPr>
          <w:rFonts w:hint="default" w:ascii="宋体" w:hAnsi="宋体" w:eastAsia="宋体" w:cs="宋体"/>
          <w:i w:val="0"/>
          <w:iCs w:val="0"/>
          <w:caps w:val="0"/>
          <w:color w:val="FF0000"/>
          <w:spacing w:val="0"/>
          <w:kern w:val="0"/>
          <w:sz w:val="21"/>
          <w:szCs w:val="21"/>
          <w:shd w:val="clear" w:fill="FFFFFF"/>
          <w:lang w:val="en-US" w:eastAsia="zh-CN" w:bidi="ar"/>
        </w:rPr>
      </w:pPr>
      <w:r>
        <w:rPr>
          <w:rFonts w:hint="eastAsia" w:ascii="Arial" w:hAnsi="Arial" w:eastAsia="黑体" w:cs="Arial"/>
          <w:sz w:val="18"/>
          <w:lang w:val="en-US" w:eastAsia="zh-CN" w:bidi="ar-SA"/>
        </w:rPr>
        <w:t>表1-1  数据时效性对场景的影响</w:t>
      </w:r>
    </w:p>
    <w:tbl>
      <w:tblPr>
        <w:tblStyle w:val="13"/>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890"/>
        <w:gridCol w:w="1980"/>
        <w:gridCol w:w="1350"/>
        <w:gridCol w:w="2880"/>
      </w:tblGrid>
      <w:tr w14:paraId="378C506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blHeader/>
          <w:jc w:val="center"/>
        </w:trPr>
        <w:tc>
          <w:tcPr>
            <w:tcW w:w="0" w:type="auto"/>
            <w:tcBorders>
              <w:left w:val="nil"/>
            </w:tcBorders>
            <w:shd w:val="clear" w:color="auto" w:fill="auto"/>
            <w:tcMar>
              <w:top w:w="90" w:type="dxa"/>
              <w:left w:w="135" w:type="dxa"/>
              <w:bottom w:w="90" w:type="dxa"/>
              <w:right w:w="135" w:type="dxa"/>
            </w:tcMar>
            <w:vAlign w:val="center"/>
          </w:tcPr>
          <w:p w14:paraId="18D2897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场景类型</w:t>
            </w:r>
          </w:p>
        </w:tc>
        <w:tc>
          <w:tcPr>
            <w:tcW w:w="0" w:type="auto"/>
            <w:shd w:val="clear" w:color="auto" w:fill="auto"/>
            <w:tcMar>
              <w:top w:w="90" w:type="dxa"/>
              <w:left w:w="135" w:type="dxa"/>
              <w:bottom w:w="90" w:type="dxa"/>
              <w:right w:w="135" w:type="dxa"/>
            </w:tcMar>
            <w:vAlign w:val="center"/>
          </w:tcPr>
          <w:p w14:paraId="64C35E4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信息更新频率</w:t>
            </w:r>
          </w:p>
        </w:tc>
        <w:tc>
          <w:tcPr>
            <w:tcW w:w="0" w:type="auto"/>
            <w:shd w:val="clear" w:color="auto" w:fill="auto"/>
            <w:tcMar>
              <w:top w:w="90" w:type="dxa"/>
              <w:left w:w="135" w:type="dxa"/>
              <w:bottom w:w="90" w:type="dxa"/>
              <w:right w:w="135" w:type="dxa"/>
            </w:tcMar>
            <w:vAlign w:val="center"/>
          </w:tcPr>
          <w:p w14:paraId="07F139E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时效影响程度</w:t>
            </w:r>
          </w:p>
        </w:tc>
        <w:tc>
          <w:tcPr>
            <w:tcW w:w="0" w:type="auto"/>
            <w:tcBorders>
              <w:right w:val="nil"/>
            </w:tcBorders>
            <w:shd w:val="clear" w:color="auto" w:fill="auto"/>
            <w:tcMar>
              <w:top w:w="90" w:type="dxa"/>
              <w:left w:w="135" w:type="dxa"/>
              <w:bottom w:w="90" w:type="dxa"/>
              <w:right w:w="135" w:type="dxa"/>
            </w:tcMar>
            <w:vAlign w:val="center"/>
          </w:tcPr>
          <w:p w14:paraId="4DD8816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场景</w:t>
            </w:r>
          </w:p>
        </w:tc>
      </w:tr>
      <w:tr w14:paraId="20DFEF7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Borders>
              <w:left w:val="nil"/>
            </w:tcBorders>
            <w:shd w:val="clear" w:color="auto" w:fill="auto"/>
            <w:tcMar>
              <w:top w:w="90" w:type="dxa"/>
              <w:left w:w="135" w:type="dxa"/>
              <w:bottom w:w="90" w:type="dxa"/>
              <w:right w:w="135" w:type="dxa"/>
            </w:tcMar>
            <w:vAlign w:val="center"/>
          </w:tcPr>
          <w:p w14:paraId="75B6563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实时资讯、新闻</w:t>
            </w:r>
          </w:p>
        </w:tc>
        <w:tc>
          <w:tcPr>
            <w:tcW w:w="0" w:type="auto"/>
            <w:shd w:val="clear" w:color="auto" w:fill="auto"/>
            <w:tcMar>
              <w:top w:w="90" w:type="dxa"/>
              <w:left w:w="135" w:type="dxa"/>
              <w:bottom w:w="90" w:type="dxa"/>
              <w:right w:w="135" w:type="dxa"/>
            </w:tcMar>
            <w:vAlign w:val="center"/>
          </w:tcPr>
          <w:p w14:paraId="4B39D09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极高（小时级）</w:t>
            </w:r>
          </w:p>
        </w:tc>
        <w:tc>
          <w:tcPr>
            <w:tcW w:w="0" w:type="auto"/>
            <w:shd w:val="clear" w:color="auto" w:fill="auto"/>
            <w:tcMar>
              <w:top w:w="90" w:type="dxa"/>
              <w:left w:w="135" w:type="dxa"/>
              <w:bottom w:w="90" w:type="dxa"/>
              <w:right w:w="135" w:type="dxa"/>
            </w:tcMar>
            <w:vAlign w:val="center"/>
          </w:tcPr>
          <w:p w14:paraId="1E83398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决定性影响</w:t>
            </w:r>
          </w:p>
        </w:tc>
        <w:tc>
          <w:tcPr>
            <w:tcW w:w="0" w:type="auto"/>
            <w:tcBorders>
              <w:right w:val="nil"/>
            </w:tcBorders>
            <w:shd w:val="clear" w:color="auto" w:fill="auto"/>
            <w:tcMar>
              <w:top w:w="90" w:type="dxa"/>
              <w:left w:w="135" w:type="dxa"/>
              <w:bottom w:w="90" w:type="dxa"/>
              <w:right w:w="135" w:type="dxa"/>
            </w:tcMar>
            <w:vAlign w:val="center"/>
          </w:tcPr>
          <w:p w14:paraId="53DAC12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回答 “今日股市收盘情况”</w:t>
            </w:r>
          </w:p>
        </w:tc>
      </w:tr>
      <w:tr w14:paraId="2CD41F4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Borders>
              <w:left w:val="nil"/>
            </w:tcBorders>
            <w:shd w:val="clear" w:color="auto" w:fill="auto"/>
            <w:tcMar>
              <w:top w:w="90" w:type="dxa"/>
              <w:left w:w="135" w:type="dxa"/>
              <w:bottom w:w="90" w:type="dxa"/>
              <w:right w:w="135" w:type="dxa"/>
            </w:tcMar>
            <w:vAlign w:val="center"/>
          </w:tcPr>
          <w:p w14:paraId="720E1B3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政策法规、行业规则</w:t>
            </w:r>
          </w:p>
        </w:tc>
        <w:tc>
          <w:tcPr>
            <w:tcW w:w="0" w:type="auto"/>
            <w:shd w:val="clear" w:color="auto" w:fill="auto"/>
            <w:tcMar>
              <w:top w:w="90" w:type="dxa"/>
              <w:left w:w="135" w:type="dxa"/>
              <w:bottom w:w="90" w:type="dxa"/>
              <w:right w:w="135" w:type="dxa"/>
            </w:tcMar>
            <w:vAlign w:val="center"/>
          </w:tcPr>
          <w:p w14:paraId="5420EFB2">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高（月 / 年度）</w:t>
            </w:r>
          </w:p>
        </w:tc>
        <w:tc>
          <w:tcPr>
            <w:tcW w:w="0" w:type="auto"/>
            <w:shd w:val="clear" w:color="auto" w:fill="auto"/>
            <w:tcMar>
              <w:top w:w="90" w:type="dxa"/>
              <w:left w:w="135" w:type="dxa"/>
              <w:bottom w:w="90" w:type="dxa"/>
              <w:right w:w="135" w:type="dxa"/>
            </w:tcMar>
            <w:vAlign w:val="center"/>
          </w:tcPr>
          <w:p w14:paraId="1175174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高影响</w:t>
            </w:r>
          </w:p>
        </w:tc>
        <w:tc>
          <w:tcPr>
            <w:tcW w:w="0" w:type="auto"/>
            <w:tcBorders>
              <w:right w:val="nil"/>
            </w:tcBorders>
            <w:shd w:val="clear" w:color="auto" w:fill="auto"/>
            <w:tcMar>
              <w:top w:w="90" w:type="dxa"/>
              <w:left w:w="135" w:type="dxa"/>
              <w:bottom w:w="90" w:type="dxa"/>
              <w:right w:w="135" w:type="dxa"/>
            </w:tcMar>
            <w:vAlign w:val="center"/>
          </w:tcPr>
          <w:p w14:paraId="14989E92">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解读 “2024 年新劳动法条款”</w:t>
            </w:r>
          </w:p>
        </w:tc>
      </w:tr>
      <w:tr w14:paraId="6E172F0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Borders>
              <w:left w:val="nil"/>
            </w:tcBorders>
            <w:shd w:val="clear" w:color="auto" w:fill="auto"/>
            <w:tcMar>
              <w:top w:w="90" w:type="dxa"/>
              <w:left w:w="135" w:type="dxa"/>
              <w:bottom w:w="90" w:type="dxa"/>
              <w:right w:w="135" w:type="dxa"/>
            </w:tcMar>
            <w:vAlign w:val="center"/>
          </w:tcPr>
          <w:p w14:paraId="657584D2">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科技学术进展</w:t>
            </w:r>
          </w:p>
        </w:tc>
        <w:tc>
          <w:tcPr>
            <w:tcW w:w="0" w:type="auto"/>
            <w:shd w:val="clear" w:color="auto" w:fill="auto"/>
            <w:tcMar>
              <w:top w:w="90" w:type="dxa"/>
              <w:left w:w="135" w:type="dxa"/>
              <w:bottom w:w="90" w:type="dxa"/>
              <w:right w:w="135" w:type="dxa"/>
            </w:tcMar>
            <w:vAlign w:val="center"/>
          </w:tcPr>
          <w:p w14:paraId="6507717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中高（季度级）</w:t>
            </w:r>
          </w:p>
        </w:tc>
        <w:tc>
          <w:tcPr>
            <w:tcW w:w="0" w:type="auto"/>
            <w:shd w:val="clear" w:color="auto" w:fill="auto"/>
            <w:tcMar>
              <w:top w:w="90" w:type="dxa"/>
              <w:left w:w="135" w:type="dxa"/>
              <w:bottom w:w="90" w:type="dxa"/>
              <w:right w:w="135" w:type="dxa"/>
            </w:tcMar>
            <w:vAlign w:val="center"/>
          </w:tcPr>
          <w:p w14:paraId="79E0052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高影响</w:t>
            </w:r>
          </w:p>
        </w:tc>
        <w:tc>
          <w:tcPr>
            <w:tcW w:w="0" w:type="auto"/>
            <w:tcBorders>
              <w:right w:val="nil"/>
            </w:tcBorders>
            <w:shd w:val="clear" w:color="auto" w:fill="auto"/>
            <w:tcMar>
              <w:top w:w="90" w:type="dxa"/>
              <w:left w:w="135" w:type="dxa"/>
              <w:bottom w:w="90" w:type="dxa"/>
              <w:right w:w="135" w:type="dxa"/>
            </w:tcMar>
            <w:vAlign w:val="center"/>
          </w:tcPr>
          <w:p w14:paraId="680810D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介绍 “最新 AI 芯片型号参数”</w:t>
            </w:r>
          </w:p>
        </w:tc>
      </w:tr>
      <w:tr w14:paraId="6B069BE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Borders>
              <w:left w:val="nil"/>
            </w:tcBorders>
            <w:shd w:val="clear" w:color="auto" w:fill="auto"/>
            <w:tcMar>
              <w:top w:w="90" w:type="dxa"/>
              <w:left w:w="135" w:type="dxa"/>
              <w:bottom w:w="90" w:type="dxa"/>
              <w:right w:w="135" w:type="dxa"/>
            </w:tcMar>
            <w:vAlign w:val="center"/>
          </w:tcPr>
          <w:p w14:paraId="489E67B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通用常识、经典知识</w:t>
            </w:r>
          </w:p>
        </w:tc>
        <w:tc>
          <w:tcPr>
            <w:tcW w:w="0" w:type="auto"/>
            <w:shd w:val="clear" w:color="auto" w:fill="auto"/>
            <w:tcMar>
              <w:top w:w="90" w:type="dxa"/>
              <w:left w:w="135" w:type="dxa"/>
              <w:bottom w:w="90" w:type="dxa"/>
              <w:right w:w="135" w:type="dxa"/>
            </w:tcMar>
            <w:vAlign w:val="center"/>
          </w:tcPr>
          <w:p w14:paraId="583CB99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低（数年 / 数十年）</w:t>
            </w:r>
          </w:p>
        </w:tc>
        <w:tc>
          <w:tcPr>
            <w:tcW w:w="0" w:type="auto"/>
            <w:shd w:val="clear" w:color="auto" w:fill="auto"/>
            <w:tcMar>
              <w:top w:w="90" w:type="dxa"/>
              <w:left w:w="135" w:type="dxa"/>
              <w:bottom w:w="90" w:type="dxa"/>
              <w:right w:w="135" w:type="dxa"/>
            </w:tcMar>
            <w:vAlign w:val="center"/>
          </w:tcPr>
          <w:p w14:paraId="4922CBE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低影响</w:t>
            </w:r>
          </w:p>
        </w:tc>
        <w:tc>
          <w:tcPr>
            <w:tcW w:w="0" w:type="auto"/>
            <w:tcBorders>
              <w:right w:val="nil"/>
            </w:tcBorders>
            <w:shd w:val="clear" w:color="auto" w:fill="auto"/>
            <w:tcMar>
              <w:top w:w="90" w:type="dxa"/>
              <w:left w:w="135" w:type="dxa"/>
              <w:bottom w:w="90" w:type="dxa"/>
              <w:right w:w="135" w:type="dxa"/>
            </w:tcMar>
            <w:vAlign w:val="center"/>
          </w:tcPr>
          <w:p w14:paraId="664F60B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解释 “相对论基本原理”</w:t>
            </w:r>
          </w:p>
        </w:tc>
      </w:tr>
    </w:tbl>
    <w:p w14:paraId="30C6409B">
      <w:pPr>
        <w:rPr>
          <w:rFonts w:hint="eastAsia" w:ascii="宋体" w:hAnsi="宋体" w:eastAsia="宋体" w:cs="宋体"/>
          <w:i w:val="0"/>
          <w:iCs w:val="0"/>
          <w:caps w:val="0"/>
          <w:color w:val="FF0000"/>
          <w:spacing w:val="0"/>
          <w:kern w:val="0"/>
          <w:sz w:val="21"/>
          <w:szCs w:val="21"/>
          <w:shd w:val="clear" w:fill="FFFFFF"/>
          <w:lang w:val="en-US" w:eastAsia="zh-CN" w:bidi="ar"/>
        </w:rPr>
      </w:pPr>
    </w:p>
    <w:p w14:paraId="45EA8068">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若</w:t>
      </w:r>
      <w:r>
        <w:rPr>
          <w:rFonts w:hint="eastAsia" w:ascii="Times New Roman" w:hAnsi="Times New Roman" w:eastAsia="宋体" w:cs="Times New Roman"/>
          <w:kern w:val="2"/>
          <w:sz w:val="21"/>
          <w:lang w:val="en-US" w:eastAsia="zh-CN" w:bidi="ar-SA"/>
        </w:rPr>
        <w:t>独立部署的大</w:t>
      </w:r>
      <w:r>
        <w:rPr>
          <w:rFonts w:hint="default" w:ascii="Times New Roman" w:hAnsi="Times New Roman" w:eastAsia="宋体" w:cs="Times New Roman"/>
          <w:kern w:val="2"/>
          <w:sz w:val="21"/>
          <w:lang w:val="en-US" w:eastAsia="zh-CN" w:bidi="ar-SA"/>
        </w:rPr>
        <w:t>模型训练数据时效性较差，可通过实时信息检索增强</w:t>
      </w:r>
      <w:r>
        <w:rPr>
          <w:rFonts w:hint="eastAsia" w:ascii="Times New Roman" w:hAnsi="Times New Roman" w:eastAsia="宋体" w:cs="Times New Roman"/>
          <w:kern w:val="2"/>
          <w:sz w:val="21"/>
          <w:lang w:val="en-US" w:eastAsia="zh-CN" w:bidi="ar-SA"/>
        </w:rPr>
        <w:t>降低影响，即</w:t>
      </w:r>
      <w:r>
        <w:rPr>
          <w:rFonts w:hint="default" w:ascii="Times New Roman" w:hAnsi="Times New Roman" w:eastAsia="宋体" w:cs="Times New Roman"/>
          <w:kern w:val="2"/>
          <w:sz w:val="21"/>
          <w:lang w:val="en-US" w:eastAsia="zh-CN" w:bidi="ar-SA"/>
        </w:rPr>
        <w:t>让模型在生成答案时调用外部实时数据库或搜索引擎获取最新信息（如</w:t>
      </w:r>
      <w:r>
        <w:rPr>
          <w:rFonts w:hint="eastAsia" w:ascii="Times New Roman" w:hAnsi="Times New Roman" w:eastAsia="宋体" w:cs="Times New Roman"/>
          <w:kern w:val="2"/>
          <w:sz w:val="21"/>
          <w:lang w:val="en-US" w:eastAsia="zh-CN" w:bidi="ar-SA"/>
        </w:rPr>
        <w:t>常见的</w:t>
      </w:r>
      <w:r>
        <w:rPr>
          <w:rFonts w:hint="default" w:ascii="Times New Roman" w:hAnsi="Times New Roman" w:eastAsia="宋体" w:cs="Times New Roman"/>
          <w:kern w:val="2"/>
          <w:sz w:val="21"/>
          <w:lang w:val="en-US" w:eastAsia="zh-CN" w:bidi="ar-SA"/>
        </w:rPr>
        <w:t>“联网功能”）</w:t>
      </w:r>
      <w:r>
        <w:rPr>
          <w:rFonts w:hint="eastAsia" w:ascii="Times New Roman" w:hAnsi="Times New Roman" w:eastAsia="宋体" w:cs="Times New Roman"/>
          <w:kern w:val="2"/>
          <w:sz w:val="21"/>
          <w:lang w:val="en-US" w:eastAsia="zh-CN" w:bidi="ar-SA"/>
        </w:rPr>
        <w:t>来</w:t>
      </w:r>
      <w:r>
        <w:rPr>
          <w:rFonts w:hint="default" w:ascii="Times New Roman" w:hAnsi="Times New Roman" w:eastAsia="宋体" w:cs="Times New Roman"/>
          <w:kern w:val="2"/>
          <w:sz w:val="21"/>
          <w:lang w:val="en-US" w:eastAsia="zh-CN" w:bidi="ar-SA"/>
        </w:rPr>
        <w:t>弥补训练数据的滞后性。</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76"/>
      </w:tblGrid>
      <w:tr w14:paraId="3406D9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tcPr>
          <w:p w14:paraId="0DA4835C">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3173730" cy="1059180"/>
                  <wp:effectExtent l="0" t="0" r="0" b="9525"/>
                  <wp:docPr id="12" name="图片 12" descr="改截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改截图-1-1"/>
                          <pic:cNvPicPr>
                            <a:picLocks noChangeAspect="1"/>
                          </pic:cNvPicPr>
                        </pic:nvPicPr>
                        <pic:blipFill>
                          <a:blip r:embed="rId7"/>
                          <a:srcRect l="6541" t="24231" r="48295"/>
                          <a:stretch>
                            <a:fillRect/>
                          </a:stretch>
                        </pic:blipFill>
                        <pic:spPr>
                          <a:xfrm>
                            <a:off x="0" y="0"/>
                            <a:ext cx="3173730" cy="1059180"/>
                          </a:xfrm>
                          <a:prstGeom prst="rect">
                            <a:avLst/>
                          </a:prstGeom>
                        </pic:spPr>
                      </pic:pic>
                    </a:graphicData>
                  </a:graphic>
                </wp:inline>
              </w:drawing>
            </w:r>
          </w:p>
          <w:p w14:paraId="7263CFD1">
            <w:pPr>
              <w:pStyle w:val="8"/>
              <w:keepNext w:val="0"/>
              <w:keepLines w:val="0"/>
              <w:pageBreakBefore w:val="0"/>
              <w:widowControl w:val="0"/>
              <w:kinsoku/>
              <w:wordWrap/>
              <w:overflowPunct/>
              <w:topLinePunct w:val="0"/>
              <w:autoSpaceDE/>
              <w:autoSpaceDN/>
              <w:bidi w:val="0"/>
              <w:adjustRightInd w:val="0"/>
              <w:snapToGrid w:val="0"/>
              <w:spacing w:after="157" w:afterLines="50"/>
              <w:ind w:left="0" w:leftChars="0" w:firstLine="0" w:firstLineChars="0"/>
              <w:jc w:val="center"/>
              <w:textAlignment w:val="auto"/>
              <w:rPr>
                <w:rFonts w:hint="default" w:eastAsia="黑体"/>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\s 2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lang w:val="en-US" w:eastAsia="zh-CN"/>
              </w:rPr>
              <w:t xml:space="preserve"> 联网功能——豆包浏览器</w:t>
            </w:r>
          </w:p>
        </w:tc>
      </w:tr>
    </w:tbl>
    <w:p w14:paraId="1612E8C3">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也可以</w:t>
      </w:r>
      <w:r>
        <w:rPr>
          <w:rFonts w:hint="default" w:ascii="Times New Roman" w:hAnsi="Times New Roman" w:eastAsia="宋体" w:cs="Times New Roman"/>
          <w:kern w:val="2"/>
          <w:sz w:val="21"/>
          <w:lang w:val="en-US" w:eastAsia="zh-CN" w:bidi="ar-SA"/>
        </w:rPr>
        <w:t>定期</w:t>
      </w:r>
      <w:r>
        <w:rPr>
          <w:rFonts w:hint="eastAsia" w:ascii="Times New Roman" w:hAnsi="Times New Roman" w:eastAsia="宋体" w:cs="Times New Roman"/>
          <w:kern w:val="2"/>
          <w:sz w:val="21"/>
          <w:lang w:val="en-US" w:eastAsia="zh-CN" w:bidi="ar-SA"/>
        </w:rPr>
        <w:t>对独立部署的大模型进行</w:t>
      </w:r>
      <w:r>
        <w:rPr>
          <w:rFonts w:hint="default" w:ascii="Times New Roman" w:hAnsi="Times New Roman" w:eastAsia="宋体" w:cs="Times New Roman"/>
          <w:kern w:val="2"/>
          <w:sz w:val="21"/>
          <w:lang w:val="en-US" w:eastAsia="zh-CN" w:bidi="ar-SA"/>
        </w:rPr>
        <w:t>增量训练</w:t>
      </w:r>
      <w:r>
        <w:rPr>
          <w:rFonts w:hint="eastAsia" w:ascii="Times New Roman" w:hAnsi="Times New Roman" w:eastAsia="宋体" w:cs="Times New Roman"/>
          <w:kern w:val="2"/>
          <w:sz w:val="21"/>
          <w:lang w:val="en-US" w:eastAsia="zh-CN" w:bidi="ar-SA"/>
        </w:rPr>
        <w:t>和</w:t>
      </w:r>
      <w:r>
        <w:rPr>
          <w:rFonts w:hint="default" w:ascii="Times New Roman" w:hAnsi="Times New Roman" w:eastAsia="宋体" w:cs="Times New Roman"/>
          <w:kern w:val="2"/>
          <w:sz w:val="21"/>
          <w:lang w:val="en-US" w:eastAsia="zh-CN" w:bidi="ar-SA"/>
        </w:rPr>
        <w:t>微调</w:t>
      </w:r>
      <w:r>
        <w:rPr>
          <w:rFonts w:hint="eastAsia" w:ascii="Times New Roman" w:hAnsi="Times New Roman" w:eastAsia="宋体" w:cs="Times New Roman"/>
          <w:kern w:val="2"/>
          <w:sz w:val="21"/>
          <w:lang w:val="en-US" w:eastAsia="zh-CN" w:bidi="ar-SA"/>
        </w:rPr>
        <w:t>，如</w:t>
      </w:r>
      <w:r>
        <w:rPr>
          <w:rFonts w:hint="default" w:ascii="Times New Roman" w:hAnsi="Times New Roman" w:eastAsia="宋体" w:cs="Times New Roman"/>
          <w:kern w:val="2"/>
          <w:sz w:val="21"/>
          <w:lang w:val="en-US" w:eastAsia="zh-CN" w:bidi="ar-SA"/>
        </w:rPr>
        <w:t>用新数据对模型进行小范围更新</w:t>
      </w:r>
      <w:r>
        <w:rPr>
          <w:rFonts w:hint="eastAsia" w:ascii="Times New Roman" w:hAnsi="Times New Roman" w:eastAsia="宋体" w:cs="Times New Roman"/>
          <w:kern w:val="2"/>
          <w:sz w:val="21"/>
          <w:lang w:val="en-US" w:eastAsia="zh-CN" w:bidi="ar-SA"/>
        </w:rPr>
        <w:t>。若未能采取有效技术手段提升时效性，大模型的部署运营方应</w:t>
      </w:r>
      <w:r>
        <w:rPr>
          <w:rFonts w:hint="default" w:ascii="Times New Roman" w:hAnsi="Times New Roman" w:eastAsia="宋体" w:cs="Times New Roman"/>
          <w:kern w:val="2"/>
          <w:sz w:val="21"/>
          <w:lang w:val="en-US" w:eastAsia="zh-CN" w:bidi="ar-SA"/>
        </w:rPr>
        <w:t>明确标注信息截止时间</w:t>
      </w:r>
      <w:r>
        <w:rPr>
          <w:rFonts w:hint="eastAsia" w:ascii="Times New Roman" w:hAnsi="Times New Roman" w:eastAsia="宋体" w:cs="Times New Roman"/>
          <w:kern w:val="2"/>
          <w:sz w:val="21"/>
          <w:lang w:val="en-US" w:eastAsia="zh-CN" w:bidi="ar-SA"/>
        </w:rPr>
        <w:t>如大</w:t>
      </w:r>
      <w:r>
        <w:rPr>
          <w:rFonts w:hint="default" w:ascii="Times New Roman" w:hAnsi="Times New Roman" w:eastAsia="宋体" w:cs="Times New Roman"/>
          <w:kern w:val="2"/>
          <w:sz w:val="21"/>
          <w:lang w:val="en-US" w:eastAsia="zh-CN" w:bidi="ar-SA"/>
        </w:rPr>
        <w:t>模型生成内容时主动提示“</w:t>
      </w:r>
      <w:r>
        <w:rPr>
          <w:rFonts w:hint="eastAsia" w:ascii="Times New Roman" w:hAnsi="Times New Roman" w:eastAsia="宋体" w:cs="Times New Roman"/>
          <w:kern w:val="2"/>
          <w:sz w:val="21"/>
          <w:lang w:val="en-US" w:eastAsia="zh-CN" w:bidi="ar-SA"/>
        </w:rPr>
        <w:t>本模型训练所用</w:t>
      </w:r>
      <w:r>
        <w:rPr>
          <w:rFonts w:hint="default" w:ascii="Times New Roman" w:hAnsi="Times New Roman" w:eastAsia="宋体" w:cs="Times New Roman"/>
          <w:kern w:val="2"/>
          <w:sz w:val="21"/>
          <w:lang w:val="en-US" w:eastAsia="zh-CN" w:bidi="ar-SA"/>
        </w:rPr>
        <w:t>数据截止至</w:t>
      </w:r>
      <w:r>
        <w:rPr>
          <w:rFonts w:hint="eastAsia" w:ascii="Times New Roman" w:hAnsi="Times New Roman" w:eastAsia="宋体" w:cs="Times New Roman"/>
          <w:kern w:val="2"/>
          <w:sz w:val="21"/>
          <w:lang w:val="en-US" w:eastAsia="zh-CN" w:bidi="ar-SA"/>
        </w:rPr>
        <w:t>2024</w:t>
      </w:r>
      <w:r>
        <w:rPr>
          <w:rFonts w:hint="default" w:ascii="Times New Roman" w:hAnsi="Times New Roman" w:eastAsia="宋体" w:cs="Times New Roman"/>
          <w:kern w:val="2"/>
          <w:sz w:val="21"/>
          <w:lang w:val="en-US" w:eastAsia="zh-CN" w:bidi="ar-SA"/>
        </w:rPr>
        <w:t>年</w:t>
      </w:r>
      <w:r>
        <w:rPr>
          <w:rFonts w:hint="eastAsia" w:ascii="Times New Roman" w:hAnsi="Times New Roman" w:eastAsia="宋体" w:cs="Times New Roman"/>
          <w:kern w:val="2"/>
          <w:sz w:val="21"/>
          <w:lang w:val="en-US" w:eastAsia="zh-CN" w:bidi="ar-SA"/>
        </w:rPr>
        <w:t>5</w:t>
      </w:r>
      <w:r>
        <w:rPr>
          <w:rFonts w:hint="default" w:ascii="Times New Roman" w:hAnsi="Times New Roman" w:eastAsia="宋体" w:cs="Times New Roman"/>
          <w:kern w:val="2"/>
          <w:sz w:val="21"/>
          <w:lang w:val="en-US" w:eastAsia="zh-CN" w:bidi="ar-SA"/>
        </w:rPr>
        <w:t>月</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本回答基</w:t>
      </w:r>
      <w:r>
        <w:rPr>
          <w:rFonts w:hint="eastAsia" w:ascii="Times New Roman" w:hAnsi="Times New Roman" w:eastAsia="宋体" w:cs="Times New Roman"/>
          <w:kern w:val="2"/>
          <w:sz w:val="21"/>
          <w:lang w:val="en-US" w:eastAsia="zh-CN" w:bidi="ar-SA"/>
        </w:rPr>
        <w:t>于</w:t>
      </w:r>
      <w:r>
        <w:rPr>
          <w:rFonts w:hint="default" w:ascii="Times New Roman" w:hAnsi="Times New Roman" w:eastAsia="宋体" w:cs="Times New Roman"/>
          <w:kern w:val="2"/>
          <w:sz w:val="21"/>
          <w:lang w:val="en-US" w:eastAsia="zh-CN" w:bidi="ar-SA"/>
        </w:rPr>
        <w:t>202</w:t>
      </w:r>
      <w:r>
        <w:rPr>
          <w:rFonts w:hint="eastAsia" w:ascii="Times New Roman" w:hAnsi="Times New Roman" w:eastAsia="宋体" w:cs="Times New Roman"/>
          <w:kern w:val="2"/>
          <w:sz w:val="21"/>
          <w:lang w:val="en-US" w:eastAsia="zh-CN" w:bidi="ar-SA"/>
        </w:rPr>
        <w:t>4</w:t>
      </w:r>
      <w:r>
        <w:rPr>
          <w:rFonts w:hint="default" w:ascii="Times New Roman" w:hAnsi="Times New Roman" w:eastAsia="宋体" w:cs="Times New Roman"/>
          <w:kern w:val="2"/>
          <w:sz w:val="21"/>
          <w:lang w:val="en-US" w:eastAsia="zh-CN" w:bidi="ar-SA"/>
        </w:rPr>
        <w:t>年</w:t>
      </w:r>
      <w:r>
        <w:rPr>
          <w:rFonts w:hint="eastAsia" w:ascii="Times New Roman" w:hAnsi="Times New Roman" w:eastAsia="宋体" w:cs="Times New Roman"/>
          <w:kern w:val="2"/>
          <w:sz w:val="21"/>
          <w:lang w:val="en-US" w:eastAsia="zh-CN" w:bidi="ar-SA"/>
        </w:rPr>
        <w:t>5月</w:t>
      </w:r>
      <w:r>
        <w:rPr>
          <w:rFonts w:hint="default" w:ascii="Times New Roman" w:hAnsi="Times New Roman" w:eastAsia="宋体" w:cs="Times New Roman"/>
          <w:kern w:val="2"/>
          <w:sz w:val="21"/>
          <w:lang w:val="en-US" w:eastAsia="zh-CN" w:bidi="ar-SA"/>
        </w:rPr>
        <w:t>之前的数据，建议核实最新</w:t>
      </w:r>
      <w:r>
        <w:rPr>
          <w:rFonts w:hint="eastAsia" w:ascii="Times New Roman" w:hAnsi="Times New Roman" w:eastAsia="宋体" w:cs="Times New Roman"/>
          <w:kern w:val="2"/>
          <w:sz w:val="21"/>
          <w:lang w:val="en-US" w:eastAsia="zh-CN" w:bidi="ar-SA"/>
        </w:rPr>
        <w:t>信息</w:t>
      </w:r>
      <w:r>
        <w:rPr>
          <w:rFonts w:hint="default" w:ascii="Times New Roman" w:hAnsi="Times New Roman" w:eastAsia="宋体" w:cs="Times New Roman"/>
          <w:kern w:val="2"/>
          <w:sz w:val="21"/>
          <w:lang w:val="en-US" w:eastAsia="zh-CN" w:bidi="ar-SA"/>
        </w:rPr>
        <w:t>”。</w:t>
      </w:r>
    </w:p>
    <w:p w14:paraId="4CEB7216">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在选择</w:t>
      </w:r>
      <w:r>
        <w:rPr>
          <w:rFonts w:hint="eastAsia" w:ascii="Times New Roman" w:hAnsi="Times New Roman" w:eastAsia="宋体" w:cs="Times New Roman"/>
          <w:kern w:val="2"/>
          <w:sz w:val="21"/>
          <w:lang w:val="en-US" w:eastAsia="zh-CN" w:bidi="ar-SA"/>
        </w:rPr>
        <w:t>AIGC文生文</w:t>
      </w:r>
      <w:r>
        <w:rPr>
          <w:rFonts w:hint="default" w:ascii="Times New Roman" w:hAnsi="Times New Roman" w:eastAsia="宋体" w:cs="Times New Roman"/>
          <w:kern w:val="2"/>
          <w:sz w:val="21"/>
          <w:lang w:val="en-US" w:eastAsia="zh-CN" w:bidi="ar-SA"/>
        </w:rPr>
        <w:t>工具时需综合考量多项技术指标并根据实际使用场景进行针对性评估</w:t>
      </w:r>
      <w:r>
        <w:rPr>
          <w:rFonts w:hint="eastAsia" w:ascii="Times New Roman" w:hAnsi="Times New Roman" w:eastAsia="宋体" w:cs="Times New Roman"/>
          <w:kern w:val="2"/>
          <w:sz w:val="21"/>
          <w:lang w:val="en-US" w:eastAsia="zh-CN" w:bidi="ar-SA"/>
        </w:rPr>
        <w:t>，我们建议综合评估主要从以下四个维度进行测试衡量：</w:t>
      </w:r>
    </w:p>
    <w:p w14:paraId="7E14FF4C">
      <w:pPr>
        <w:keepNext w:val="0"/>
        <w:keepLines w:val="0"/>
        <w:pageBreakBefore w:val="0"/>
        <w:widowControl w:val="0"/>
        <w:numPr>
          <w:ilvl w:val="0"/>
          <w:numId w:val="1"/>
        </w:numPr>
        <w:kinsoku/>
        <w:wordWrap/>
        <w:overflowPunct/>
        <w:topLinePunct w:val="0"/>
        <w:autoSpaceDE/>
        <w:autoSpaceDN/>
        <w:bidi w:val="0"/>
        <w:adjustRightInd/>
        <w:snapToGrid w:val="0"/>
        <w:spacing w:line="332" w:lineRule="atLeast"/>
        <w:ind w:left="0" w:leftChars="0" w:firstLine="425" w:firstLineChars="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基础筛查：确认数据截止时间、时间跨度及高频领域数据占比；</w:t>
      </w:r>
    </w:p>
    <w:p w14:paraId="15E65467">
      <w:pPr>
        <w:keepNext w:val="0"/>
        <w:keepLines w:val="0"/>
        <w:pageBreakBefore w:val="0"/>
        <w:widowControl w:val="0"/>
        <w:numPr>
          <w:ilvl w:val="0"/>
          <w:numId w:val="1"/>
        </w:numPr>
        <w:kinsoku/>
        <w:wordWrap/>
        <w:overflowPunct/>
        <w:topLinePunct w:val="0"/>
        <w:autoSpaceDE/>
        <w:autoSpaceDN/>
        <w:bidi w:val="0"/>
        <w:adjustRightInd/>
        <w:snapToGrid w:val="0"/>
        <w:spacing w:line="332" w:lineRule="atLeast"/>
        <w:ind w:left="0" w:leftChars="0" w:firstLine="425" w:firstLineChars="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场景验证：通过时间敏感问题（如“2024 年新政策内容”）测试模型实际表现；</w:t>
      </w:r>
    </w:p>
    <w:p w14:paraId="6A5C7383">
      <w:pPr>
        <w:keepNext w:val="0"/>
        <w:keepLines w:val="0"/>
        <w:pageBreakBefore w:val="0"/>
        <w:widowControl w:val="0"/>
        <w:numPr>
          <w:ilvl w:val="0"/>
          <w:numId w:val="1"/>
        </w:numPr>
        <w:kinsoku/>
        <w:wordWrap/>
        <w:overflowPunct/>
        <w:topLinePunct w:val="0"/>
        <w:autoSpaceDE/>
        <w:autoSpaceDN/>
        <w:bidi w:val="0"/>
        <w:adjustRightInd/>
        <w:snapToGrid w:val="0"/>
        <w:spacing w:line="332" w:lineRule="atLeast"/>
        <w:ind w:left="0" w:leftChars="0" w:firstLine="425" w:firstLineChars="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动态评估：考量工具是否支持实时检索或高频更新；</w:t>
      </w:r>
    </w:p>
    <w:p w14:paraId="2278CD11">
      <w:pPr>
        <w:keepNext w:val="0"/>
        <w:keepLines w:val="0"/>
        <w:pageBreakBefore w:val="0"/>
        <w:widowControl w:val="0"/>
        <w:numPr>
          <w:ilvl w:val="0"/>
          <w:numId w:val="1"/>
        </w:numPr>
        <w:kinsoku/>
        <w:wordWrap/>
        <w:overflowPunct/>
        <w:topLinePunct w:val="0"/>
        <w:autoSpaceDE/>
        <w:autoSpaceDN/>
        <w:bidi w:val="0"/>
        <w:adjustRightInd/>
        <w:snapToGrid w:val="0"/>
        <w:spacing w:line="332" w:lineRule="atLeast"/>
        <w:ind w:left="0" w:leftChars="0" w:firstLine="425" w:firstLineChars="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附加需求：根据场景特性（如科研场景）关注开源性、可解释性等拓展指标。</w:t>
      </w:r>
    </w:p>
    <w:p w14:paraId="6C679C6A">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通过系统化</w:t>
      </w:r>
      <w:r>
        <w:rPr>
          <w:rFonts w:hint="eastAsia" w:ascii="Times New Roman" w:hAnsi="Times New Roman" w:eastAsia="宋体" w:cs="Times New Roman"/>
          <w:kern w:val="2"/>
          <w:sz w:val="21"/>
          <w:lang w:val="en-US" w:eastAsia="zh-CN" w:bidi="ar-SA"/>
        </w:rPr>
        <w:t>综合</w:t>
      </w:r>
      <w:r>
        <w:rPr>
          <w:rFonts w:hint="default" w:ascii="Times New Roman" w:hAnsi="Times New Roman" w:eastAsia="宋体" w:cs="Times New Roman"/>
          <w:kern w:val="2"/>
          <w:sz w:val="21"/>
          <w:lang w:val="en-US" w:eastAsia="zh-CN" w:bidi="ar-SA"/>
        </w:rPr>
        <w:t>评估可帮助</w:t>
      </w:r>
      <w:r>
        <w:rPr>
          <w:rFonts w:hint="eastAsia" w:ascii="Times New Roman" w:hAnsi="Times New Roman" w:eastAsia="宋体" w:cs="Times New Roman"/>
          <w:kern w:val="2"/>
          <w:sz w:val="21"/>
          <w:lang w:val="en-US" w:eastAsia="zh-CN" w:bidi="ar-SA"/>
        </w:rPr>
        <w:t>我们在教研场景下选择更</w:t>
      </w:r>
      <w:r>
        <w:rPr>
          <w:rFonts w:hint="default" w:ascii="Times New Roman" w:hAnsi="Times New Roman" w:eastAsia="宋体" w:cs="Times New Roman"/>
          <w:kern w:val="2"/>
          <w:sz w:val="21"/>
          <w:lang w:val="en-US" w:eastAsia="zh-CN" w:bidi="ar-SA"/>
        </w:rPr>
        <w:t>匹配</w:t>
      </w:r>
      <w:r>
        <w:rPr>
          <w:rFonts w:hint="eastAsia" w:ascii="Times New Roman" w:hAnsi="Times New Roman" w:eastAsia="宋体" w:cs="Times New Roman"/>
          <w:kern w:val="2"/>
          <w:sz w:val="21"/>
          <w:lang w:val="en-US" w:eastAsia="zh-CN" w:bidi="ar-SA"/>
        </w:rPr>
        <w:t>的AIGC</w:t>
      </w:r>
      <w:r>
        <w:rPr>
          <w:rFonts w:hint="default" w:ascii="Times New Roman" w:hAnsi="Times New Roman" w:eastAsia="宋体" w:cs="Times New Roman"/>
          <w:kern w:val="2"/>
          <w:sz w:val="21"/>
          <w:lang w:val="en-US" w:eastAsia="zh-CN" w:bidi="ar-SA"/>
        </w:rPr>
        <w:t>文本生成工具，实现</w:t>
      </w:r>
      <w:r>
        <w:rPr>
          <w:rFonts w:hint="eastAsia" w:ascii="Times New Roman" w:hAnsi="Times New Roman" w:eastAsia="宋体" w:cs="Times New Roman"/>
          <w:kern w:val="2"/>
          <w:sz w:val="21"/>
          <w:lang w:val="en-US" w:eastAsia="zh-CN" w:bidi="ar-SA"/>
        </w:rPr>
        <w:t>安全、</w:t>
      </w:r>
      <w:r>
        <w:rPr>
          <w:rFonts w:hint="default" w:ascii="Times New Roman" w:hAnsi="Times New Roman" w:eastAsia="宋体" w:cs="Times New Roman"/>
          <w:kern w:val="2"/>
          <w:sz w:val="21"/>
          <w:lang w:val="en-US" w:eastAsia="zh-CN" w:bidi="ar-SA"/>
        </w:rPr>
        <w:t>效率与</w:t>
      </w:r>
      <w:r>
        <w:rPr>
          <w:rFonts w:hint="eastAsia" w:ascii="Times New Roman" w:hAnsi="Times New Roman" w:eastAsia="宋体" w:cs="Times New Roman"/>
          <w:kern w:val="2"/>
          <w:sz w:val="21"/>
          <w:lang w:val="en-US" w:eastAsia="zh-CN" w:bidi="ar-SA"/>
        </w:rPr>
        <w:t>质量</w:t>
      </w:r>
      <w:r>
        <w:rPr>
          <w:rFonts w:hint="default" w:ascii="Times New Roman" w:hAnsi="Times New Roman" w:eastAsia="宋体" w:cs="Times New Roman"/>
          <w:kern w:val="2"/>
          <w:sz w:val="21"/>
          <w:lang w:val="en-US" w:eastAsia="zh-CN" w:bidi="ar-SA"/>
        </w:rPr>
        <w:t>的</w:t>
      </w:r>
      <w:r>
        <w:rPr>
          <w:rFonts w:hint="eastAsia" w:ascii="Times New Roman" w:hAnsi="Times New Roman" w:eastAsia="宋体" w:cs="Times New Roman"/>
          <w:kern w:val="2"/>
          <w:sz w:val="21"/>
          <w:lang w:val="en-US" w:eastAsia="zh-CN" w:bidi="ar-SA"/>
        </w:rPr>
        <w:t>多</w:t>
      </w:r>
      <w:r>
        <w:rPr>
          <w:rFonts w:hint="default" w:ascii="Times New Roman" w:hAnsi="Times New Roman" w:eastAsia="宋体" w:cs="Times New Roman"/>
          <w:kern w:val="2"/>
          <w:sz w:val="21"/>
          <w:lang w:val="en-US" w:eastAsia="zh-CN" w:bidi="ar-SA"/>
        </w:rPr>
        <w:t>重提升</w:t>
      </w:r>
      <w:r>
        <w:rPr>
          <w:rFonts w:hint="eastAsia" w:ascii="Times New Roman" w:hAnsi="Times New Roman" w:eastAsia="宋体" w:cs="Times New Roman"/>
          <w:kern w:val="2"/>
          <w:sz w:val="21"/>
          <w:lang w:val="en-US" w:eastAsia="zh-CN" w:bidi="ar-SA"/>
        </w:rPr>
        <w:t>。</w:t>
      </w:r>
    </w:p>
    <w:p w14:paraId="3DD3460D">
      <w:pPr>
        <w:pStyle w:val="23"/>
        <w:bidi w:val="0"/>
        <w:rPr>
          <w:rFonts w:hint="eastAsia"/>
          <w:lang w:val="en-US" w:eastAsia="zh-CN"/>
        </w:rPr>
      </w:pPr>
      <w:r>
        <w:rPr>
          <w:rFonts w:hint="eastAsia"/>
          <w:lang w:val="en-US" w:eastAsia="zh-CN"/>
        </w:rPr>
        <w:t>1</w:t>
      </w:r>
      <w:r>
        <w:rPr>
          <w:lang w:val="en-US" w:eastAsia="zh-CN"/>
        </w:rPr>
        <w:t>.</w:t>
      </w:r>
      <w:r>
        <w:rPr>
          <w:rFonts w:hint="eastAsia"/>
          <w:lang w:val="en-US" w:eastAsia="zh-CN"/>
        </w:rPr>
        <w:t>2</w:t>
      </w:r>
      <w:r>
        <w:rPr>
          <w:lang w:val="en-US" w:eastAsia="zh-CN"/>
        </w:rPr>
        <w:t>.</w:t>
      </w:r>
      <w:r>
        <w:rPr>
          <w:rFonts w:hint="eastAsia"/>
          <w:lang w:val="en-US" w:eastAsia="zh-CN"/>
        </w:rPr>
        <w:t>2  AIGC文生文工具在使用配置中的核心技术和常见概念</w:t>
      </w:r>
    </w:p>
    <w:p w14:paraId="200AB317">
      <w:pPr>
        <w:widowControl w:val="0"/>
        <w:adjustRightInd w:val="0"/>
        <w:spacing w:before="152" w:beforeLines="50" w:line="332" w:lineRule="atLeast"/>
        <w:ind w:firstLine="0"/>
        <w:jc w:val="center"/>
        <w:textAlignment w:val="baseline"/>
        <w:rPr>
          <w:rFonts w:hint="default"/>
          <w:lang w:val="en-US" w:eastAsia="zh-CN"/>
        </w:rPr>
      </w:pPr>
      <w:r>
        <w:rPr>
          <w:rFonts w:hint="eastAsia" w:ascii="Arial" w:hAnsi="Arial" w:eastAsia="黑体" w:cs="Arial"/>
          <w:sz w:val="18"/>
          <w:lang w:val="en-US" w:eastAsia="zh-CN" w:bidi="ar-SA"/>
        </w:rPr>
        <w:t>表1-2  AIGC文生文常用术语和操作对照表</w:t>
      </w:r>
    </w:p>
    <w:tbl>
      <w:tblPr>
        <w:tblStyle w:val="13"/>
        <w:tblW w:w="9896" w:type="dxa"/>
        <w:tblInd w:w="15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2534"/>
        <w:gridCol w:w="7362"/>
      </w:tblGrid>
      <w:tr w14:paraId="45D8834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blHeader/>
        </w:trPr>
        <w:tc>
          <w:tcPr>
            <w:tcW w:w="2534" w:type="dxa"/>
            <w:tcBorders>
              <w:left w:val="nil"/>
            </w:tcBorders>
            <w:shd w:val="clear" w:color="auto" w:fill="FFFFFF"/>
            <w:tcMar>
              <w:top w:w="150" w:type="dxa"/>
              <w:left w:w="150" w:type="dxa"/>
              <w:bottom w:w="150" w:type="dxa"/>
              <w:right w:w="150" w:type="dxa"/>
            </w:tcMar>
            <w:vAlign w:val="center"/>
          </w:tcPr>
          <w:p w14:paraId="11ACD10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default" w:ascii="黑体" w:hAnsi="黑体" w:eastAsia="黑体" w:cs="黑体"/>
                <w:sz w:val="18"/>
                <w:szCs w:val="18"/>
                <w:lang w:val="en-US" w:eastAsia="zh-CN" w:bidi="ar-SA"/>
              </w:rPr>
            </w:pPr>
            <w:r>
              <w:rPr>
                <w:rFonts w:hint="eastAsia" w:ascii="黑体" w:hAnsi="黑体" w:eastAsia="黑体" w:cs="黑体"/>
                <w:sz w:val="18"/>
                <w:szCs w:val="18"/>
                <w:lang w:val="en-US" w:eastAsia="zh-CN" w:bidi="ar-SA"/>
              </w:rPr>
              <w:t>核心技术/常见概念</w:t>
            </w:r>
          </w:p>
        </w:tc>
        <w:tc>
          <w:tcPr>
            <w:tcW w:w="7362" w:type="dxa"/>
            <w:tcBorders>
              <w:right w:val="nil"/>
            </w:tcBorders>
            <w:shd w:val="clear" w:color="auto" w:fill="FFFFFF"/>
            <w:tcMar>
              <w:top w:w="150" w:type="dxa"/>
              <w:left w:w="150" w:type="dxa"/>
              <w:bottom w:w="150" w:type="dxa"/>
              <w:right w:w="150" w:type="dxa"/>
            </w:tcMar>
            <w:vAlign w:val="center"/>
          </w:tcPr>
          <w:p w14:paraId="646AC29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说明</w:t>
            </w:r>
          </w:p>
        </w:tc>
      </w:tr>
      <w:tr w14:paraId="54CF4FB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5E52475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大语言模型LLM</w:t>
            </w:r>
            <w:r>
              <w:rPr>
                <w:rFonts w:hint="default" w:ascii="Times New Roman" w:hAnsi="Times New Roman" w:eastAsia="宋体" w:cs="Times New Roman"/>
                <w:sz w:val="18"/>
                <w:szCs w:val="18"/>
                <w:lang w:val="en-US" w:eastAsia="zh-CN" w:bidi="ar-SA"/>
              </w:rPr>
              <w:br w:type="textWrapping"/>
            </w:r>
            <w:bookmarkStart w:id="0" w:name="OLE_LINK2"/>
            <w:r>
              <w:rPr>
                <w:rFonts w:hint="default" w:ascii="Times New Roman" w:hAnsi="Times New Roman" w:eastAsia="宋体" w:cs="Times New Roman"/>
                <w:sz w:val="18"/>
                <w:szCs w:val="18"/>
                <w:lang w:val="en-US" w:eastAsia="zh-CN" w:bidi="ar-SA"/>
              </w:rPr>
              <w:t>提示</w:t>
            </w:r>
            <w:bookmarkEnd w:id="0"/>
            <w:r>
              <w:rPr>
                <w:rFonts w:hint="default" w:ascii="Times New Roman" w:hAnsi="Times New Roman" w:eastAsia="宋体" w:cs="Times New Roman"/>
                <w:sz w:val="18"/>
                <w:szCs w:val="18"/>
                <w:lang w:val="en-US" w:eastAsia="zh-CN" w:bidi="ar-SA"/>
              </w:rPr>
              <w:t>词Prompt</w:t>
            </w:r>
          </w:p>
          <w:p w14:paraId="329EBF3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最小语义单元Token</w:t>
            </w:r>
          </w:p>
        </w:tc>
        <w:tc>
          <w:tcPr>
            <w:tcW w:w="7362" w:type="dxa"/>
            <w:tcBorders>
              <w:right w:val="nil"/>
            </w:tcBorders>
            <w:shd w:val="clear" w:color="auto" w:fill="FFFFFF"/>
            <w:tcMar>
              <w:top w:w="150" w:type="dxa"/>
              <w:left w:w="150" w:type="dxa"/>
              <w:bottom w:w="150" w:type="dxa"/>
              <w:right w:w="150" w:type="dxa"/>
            </w:tcMar>
            <w:vAlign w:val="center"/>
          </w:tcPr>
          <w:p w14:paraId="718B008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LLM是Large Language Model的缩写，是基于海量文本数据</w:t>
            </w:r>
            <w:r>
              <w:rPr>
                <w:rFonts w:hint="eastAsia" w:ascii="Times New Roman" w:hAnsi="Times New Roman" w:eastAsia="宋体" w:cs="Times New Roman"/>
                <w:sz w:val="18"/>
                <w:szCs w:val="18"/>
                <w:lang w:val="en-US" w:eastAsia="zh-CN" w:bidi="ar-SA"/>
              </w:rPr>
              <w:t>统计</w:t>
            </w:r>
            <w:r>
              <w:rPr>
                <w:rFonts w:hint="default" w:ascii="Times New Roman" w:hAnsi="Times New Roman" w:eastAsia="宋体" w:cs="Times New Roman"/>
                <w:sz w:val="18"/>
                <w:szCs w:val="18"/>
                <w:lang w:val="en-US" w:eastAsia="zh-CN" w:bidi="ar-SA"/>
              </w:rPr>
              <w:t>训练的</w:t>
            </w:r>
            <w:r>
              <w:rPr>
                <w:rFonts w:hint="eastAsia" w:ascii="Times New Roman" w:hAnsi="Times New Roman" w:eastAsia="宋体" w:cs="Times New Roman"/>
                <w:sz w:val="18"/>
                <w:szCs w:val="18"/>
                <w:lang w:val="en-US" w:eastAsia="zh-CN" w:bidi="ar-SA"/>
              </w:rPr>
              <w:t>AI</w:t>
            </w:r>
            <w:r>
              <w:rPr>
                <w:rFonts w:hint="default" w:ascii="Times New Roman" w:hAnsi="Times New Roman" w:eastAsia="宋体" w:cs="Times New Roman"/>
                <w:sz w:val="18"/>
                <w:szCs w:val="18"/>
                <w:lang w:val="en-US" w:eastAsia="zh-CN" w:bidi="ar-SA"/>
              </w:rPr>
              <w:t>模型，</w:t>
            </w:r>
            <w:r>
              <w:rPr>
                <w:rFonts w:hint="eastAsia" w:ascii="Times New Roman" w:hAnsi="Times New Roman" w:eastAsia="宋体" w:cs="Times New Roman"/>
                <w:sz w:val="18"/>
                <w:szCs w:val="18"/>
                <w:lang w:val="en-US" w:eastAsia="zh-CN" w:bidi="ar-SA"/>
              </w:rPr>
              <w:t>通过概率预测和</w:t>
            </w:r>
            <w:r>
              <w:rPr>
                <w:rFonts w:hint="default" w:ascii="Times New Roman" w:hAnsi="Times New Roman" w:eastAsia="宋体" w:cs="Times New Roman"/>
                <w:sz w:val="18"/>
                <w:szCs w:val="18"/>
                <w:lang w:val="en-US" w:eastAsia="zh-CN" w:bidi="ar-SA"/>
              </w:rPr>
              <w:t>生成人类</w:t>
            </w:r>
            <w:r>
              <w:rPr>
                <w:rFonts w:hint="eastAsia" w:ascii="Times New Roman" w:hAnsi="Times New Roman" w:eastAsia="宋体" w:cs="Times New Roman"/>
                <w:sz w:val="18"/>
                <w:szCs w:val="18"/>
                <w:lang w:val="en-US" w:eastAsia="zh-CN" w:bidi="ar-SA"/>
              </w:rPr>
              <w:t>自然</w:t>
            </w:r>
            <w:r>
              <w:rPr>
                <w:rFonts w:hint="default" w:ascii="Times New Roman" w:hAnsi="Times New Roman" w:eastAsia="宋体" w:cs="Times New Roman"/>
                <w:sz w:val="18"/>
                <w:szCs w:val="18"/>
                <w:lang w:val="en-US" w:eastAsia="zh-CN" w:bidi="ar-SA"/>
              </w:rPr>
              <w:t>语言</w:t>
            </w:r>
            <w:r>
              <w:rPr>
                <w:rFonts w:hint="eastAsia" w:ascii="Times New Roman" w:hAnsi="Times New Roman" w:eastAsia="宋体" w:cs="Times New Roman"/>
                <w:sz w:val="18"/>
                <w:szCs w:val="18"/>
                <w:lang w:val="en-US" w:eastAsia="zh-CN" w:bidi="ar-SA"/>
              </w:rPr>
              <w:t>，AI幻觉（</w:t>
            </w:r>
            <w:r>
              <w:rPr>
                <w:rFonts w:hint="default" w:ascii="Times New Roman" w:hAnsi="Times New Roman" w:eastAsia="宋体" w:cs="Times New Roman"/>
                <w:sz w:val="18"/>
                <w:szCs w:val="18"/>
                <w:lang w:val="en-US" w:eastAsia="zh-CN" w:bidi="ar-SA"/>
              </w:rPr>
              <w:t>Hallucination</w:t>
            </w:r>
            <w:r>
              <w:rPr>
                <w:rFonts w:hint="eastAsia" w:ascii="Times New Roman" w:hAnsi="Times New Roman" w:eastAsia="宋体" w:cs="Times New Roman"/>
                <w:sz w:val="18"/>
                <w:szCs w:val="18"/>
                <w:lang w:val="en-US" w:eastAsia="zh-CN" w:bidi="ar-SA"/>
              </w:rPr>
              <w:t>）是LLM目前的主要短板之一。</w:t>
            </w:r>
          </w:p>
          <w:p w14:paraId="7FD4E2B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Prompt是输入给 AI 模型的指令</w:t>
            </w:r>
            <w:r>
              <w:rPr>
                <w:rFonts w:hint="eastAsia" w:ascii="Times New Roman" w:hAnsi="Times New Roman" w:eastAsia="宋体" w:cs="Times New Roman"/>
                <w:sz w:val="18"/>
                <w:szCs w:val="18"/>
                <w:lang w:val="en-US" w:eastAsia="zh-CN" w:bidi="ar-SA"/>
              </w:rPr>
              <w:t>和参考</w:t>
            </w:r>
            <w:r>
              <w:rPr>
                <w:rFonts w:hint="default" w:ascii="Times New Roman" w:hAnsi="Times New Roman" w:eastAsia="宋体" w:cs="Times New Roman"/>
                <w:sz w:val="18"/>
                <w:szCs w:val="18"/>
                <w:lang w:val="en-US" w:eastAsia="zh-CN" w:bidi="ar-SA"/>
              </w:rPr>
              <w:t>，引导模型生成符合预期的输出。</w:t>
            </w:r>
          </w:p>
          <w:p w14:paraId="64172AE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Token是AI处理文本的最小语义单元，一个汉字、成语或常用的单词一般会被编码为1个token，较长或不常见的单词会被分解成多个tokens</w:t>
            </w:r>
          </w:p>
        </w:tc>
      </w:tr>
      <w:tr w14:paraId="6EC2229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75AB1AB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温度Temperature</w:t>
            </w:r>
          </w:p>
        </w:tc>
        <w:tc>
          <w:tcPr>
            <w:tcW w:w="7362" w:type="dxa"/>
            <w:tcBorders>
              <w:right w:val="nil"/>
            </w:tcBorders>
            <w:shd w:val="clear" w:color="auto" w:fill="FFFFFF"/>
            <w:tcMar>
              <w:top w:w="150" w:type="dxa"/>
              <w:left w:w="150" w:type="dxa"/>
              <w:bottom w:w="150" w:type="dxa"/>
              <w:right w:w="150" w:type="dxa"/>
            </w:tcMar>
            <w:vAlign w:val="center"/>
          </w:tcPr>
          <w:p w14:paraId="75D8098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用于控制AI输出的随机性和创造性的核心参数，取值范围通常是 0到2，数值越高则输出越灵活多变；数值越低则输出越确定和保守</w:t>
            </w:r>
          </w:p>
        </w:tc>
      </w:tr>
      <w:tr w14:paraId="1EB60EA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78EF87E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核采样Top-p</w:t>
            </w:r>
          </w:p>
        </w:tc>
        <w:tc>
          <w:tcPr>
            <w:tcW w:w="7362" w:type="dxa"/>
            <w:tcBorders>
              <w:right w:val="nil"/>
            </w:tcBorders>
            <w:shd w:val="clear" w:color="auto" w:fill="FFFFFF"/>
            <w:tcMar>
              <w:top w:w="150" w:type="dxa"/>
              <w:left w:w="150" w:type="dxa"/>
              <w:bottom w:w="150" w:type="dxa"/>
              <w:right w:w="150" w:type="dxa"/>
            </w:tcMar>
            <w:vAlign w:val="center"/>
          </w:tcPr>
          <w:p w14:paraId="4420CFB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AIGC的一种采样策略，设定“累积概率阈值”动态筛选候选词范围，保证输出多样性的同时，避免概率低的不合理词汇，与温度、Top-K均为控制模型输出特性的核心参数</w:t>
            </w:r>
          </w:p>
        </w:tc>
      </w:tr>
      <w:tr w14:paraId="0D7E287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17D917B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思维链CoT</w:t>
            </w:r>
          </w:p>
        </w:tc>
        <w:tc>
          <w:tcPr>
            <w:tcW w:w="7362" w:type="dxa"/>
            <w:tcBorders>
              <w:right w:val="nil"/>
            </w:tcBorders>
            <w:shd w:val="clear" w:color="auto" w:fill="FFFFFF"/>
            <w:tcMar>
              <w:top w:w="150" w:type="dxa"/>
              <w:left w:w="150" w:type="dxa"/>
              <w:bottom w:w="150" w:type="dxa"/>
              <w:right w:w="150" w:type="dxa"/>
            </w:tcMar>
            <w:vAlign w:val="center"/>
          </w:tcPr>
          <w:p w14:paraId="5A40838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CoT是一种提示词工程技术，引导大语言模型在输出最终答案前，先逐步展现推理过程，就像人类“一步步思考”解决问题一样，提升模型在逻辑分析、多步骤决策等复杂问题中的表现</w:t>
            </w:r>
          </w:p>
        </w:tc>
      </w:tr>
      <w:tr w14:paraId="473D45A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30E7D3B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模板化提示</w:t>
            </w:r>
          </w:p>
        </w:tc>
        <w:tc>
          <w:tcPr>
            <w:tcW w:w="7362" w:type="dxa"/>
            <w:tcBorders>
              <w:right w:val="nil"/>
            </w:tcBorders>
            <w:shd w:val="clear" w:color="auto" w:fill="FFFFFF"/>
            <w:tcMar>
              <w:top w:w="150" w:type="dxa"/>
              <w:left w:w="150" w:type="dxa"/>
              <w:bottom w:w="150" w:type="dxa"/>
              <w:right w:w="150" w:type="dxa"/>
            </w:tcMar>
            <w:vAlign w:val="center"/>
          </w:tcPr>
          <w:p w14:paraId="40DE1CF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是一种提示词工程方法，通过预设固定的“框架/模板”来组织输入内容，引导AI按统一格式或逻辑输出。其核心是用标准化的结构约束用户输入和模型输出，减少模糊性，提升任务处理的一致性和效率</w:t>
            </w:r>
          </w:p>
        </w:tc>
      </w:tr>
      <w:tr w14:paraId="333EC2F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17707D7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后处理Post-processing</w:t>
            </w:r>
          </w:p>
          <w:p w14:paraId="71571E5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p>
        </w:tc>
        <w:tc>
          <w:tcPr>
            <w:tcW w:w="7362" w:type="dxa"/>
            <w:tcBorders>
              <w:right w:val="nil"/>
            </w:tcBorders>
            <w:shd w:val="clear" w:color="auto" w:fill="FFFFFF"/>
            <w:tcMar>
              <w:top w:w="150" w:type="dxa"/>
              <w:left w:w="150" w:type="dxa"/>
              <w:bottom w:w="150" w:type="dxa"/>
              <w:right w:w="150" w:type="dxa"/>
            </w:tcMar>
            <w:vAlign w:val="center"/>
          </w:tcPr>
          <w:p w14:paraId="5EFA41F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对AI的原始输出进行追问优化、修正等操作，提升结果的准确性、可读性、合规性，往往还需要通过多AI交叉验证、调用专业知识库来对关键数据进行事实校验</w:t>
            </w:r>
          </w:p>
        </w:tc>
      </w:tr>
      <w:tr w14:paraId="72A436F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3E47C76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检索增强生成RAG</w:t>
            </w:r>
          </w:p>
        </w:tc>
        <w:tc>
          <w:tcPr>
            <w:tcW w:w="7362" w:type="dxa"/>
            <w:tcBorders>
              <w:right w:val="nil"/>
            </w:tcBorders>
            <w:shd w:val="clear" w:color="auto" w:fill="FFFFFF"/>
            <w:tcMar>
              <w:top w:w="150" w:type="dxa"/>
              <w:left w:w="150" w:type="dxa"/>
              <w:bottom w:w="150" w:type="dxa"/>
              <w:right w:w="150" w:type="dxa"/>
            </w:tcMar>
            <w:vAlign w:val="center"/>
          </w:tcPr>
          <w:p w14:paraId="294B16B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对AI提问前自动检索相关文档或网络搜索（如常见的“上传文档</w:t>
            </w:r>
            <w:r>
              <w:rPr>
                <w:rFonts w:hint="eastAsia" w:ascii="Times New Roman" w:hAnsi="Times New Roman" w:eastAsia="宋体" w:cs="Times New Roman"/>
                <w:sz w:val="18"/>
                <w:szCs w:val="18"/>
                <w:lang w:val="en-US" w:eastAsia="zh-CN" w:bidi="ar-SA"/>
              </w:rPr>
              <w:t>”“</w:t>
            </w:r>
            <w:r>
              <w:rPr>
                <w:rFonts w:hint="default" w:ascii="Times New Roman" w:hAnsi="Times New Roman" w:eastAsia="宋体" w:cs="Times New Roman"/>
                <w:sz w:val="18"/>
                <w:szCs w:val="18"/>
                <w:lang w:val="en-US" w:eastAsia="zh-CN" w:bidi="ar-SA"/>
              </w:rPr>
              <w:t>联网模式”）</w:t>
            </w:r>
          </w:p>
        </w:tc>
      </w:tr>
      <w:tr w14:paraId="578A81C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0854D00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智能体Agent</w:t>
            </w:r>
          </w:p>
        </w:tc>
        <w:tc>
          <w:tcPr>
            <w:tcW w:w="7362" w:type="dxa"/>
            <w:tcBorders>
              <w:right w:val="nil"/>
            </w:tcBorders>
            <w:shd w:val="clear" w:color="auto" w:fill="FFFFFF"/>
            <w:tcMar>
              <w:top w:w="150" w:type="dxa"/>
              <w:left w:w="150" w:type="dxa"/>
              <w:bottom w:w="150" w:type="dxa"/>
              <w:right w:w="150" w:type="dxa"/>
            </w:tcMar>
            <w:vAlign w:val="center"/>
          </w:tcPr>
          <w:p w14:paraId="22A949A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指能够自主感知环境、做出决策并执行行动，以实现特定目标的独立实体。可以是软件程序、机器人，甚至是模拟的虚拟实体，核心特征是自主性、交互性和目标导向性</w:t>
            </w:r>
          </w:p>
        </w:tc>
      </w:tr>
      <w:tr w14:paraId="513CD6E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2534" w:type="dxa"/>
            <w:tcBorders>
              <w:left w:val="nil"/>
            </w:tcBorders>
            <w:shd w:val="clear" w:color="auto" w:fill="FFFFFF"/>
            <w:tcMar>
              <w:top w:w="150" w:type="dxa"/>
              <w:left w:w="150" w:type="dxa"/>
              <w:bottom w:w="150" w:type="dxa"/>
              <w:right w:w="150" w:type="dxa"/>
            </w:tcMar>
            <w:vAlign w:val="center"/>
          </w:tcPr>
          <w:p w14:paraId="0593D72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应用接口密钥API Key</w:t>
            </w:r>
          </w:p>
        </w:tc>
        <w:tc>
          <w:tcPr>
            <w:tcW w:w="7362" w:type="dxa"/>
            <w:tcBorders>
              <w:right w:val="nil"/>
            </w:tcBorders>
            <w:shd w:val="clear" w:color="auto" w:fill="FFFFFF"/>
            <w:tcMar>
              <w:top w:w="150" w:type="dxa"/>
              <w:left w:w="150" w:type="dxa"/>
              <w:bottom w:w="150" w:type="dxa"/>
              <w:right w:w="150" w:type="dxa"/>
            </w:tcMar>
            <w:vAlign w:val="center"/>
          </w:tcPr>
          <w:p w14:paraId="1C4617D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在调用大模型接口使用时要用API Key来进行鉴权及计费，需要注意：API Key 相当于数字密码，一旦泄露可能导致他人盗用服务并产生费用，建议定期重新生成轮换。部分API Key有过期时间，若长期未使用，可能会失效。需关注API Key对应的调用限额（如每日/每月最大调用次数）和计费规则，避免超额产生额外费用或服务中断</w:t>
            </w:r>
          </w:p>
        </w:tc>
      </w:tr>
      <w:tr w14:paraId="56F4CD6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0929FF4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上下文窗口/长度</w:t>
            </w:r>
          </w:p>
          <w:p w14:paraId="152E6A7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Context Window/Length</w:t>
            </w:r>
          </w:p>
        </w:tc>
        <w:tc>
          <w:tcPr>
            <w:tcW w:w="7362" w:type="dxa"/>
            <w:tcBorders>
              <w:right w:val="nil"/>
            </w:tcBorders>
            <w:shd w:val="clear" w:color="auto" w:fill="FFFFFF"/>
            <w:tcMar>
              <w:top w:w="150" w:type="dxa"/>
              <w:left w:w="150" w:type="dxa"/>
              <w:bottom w:w="150" w:type="dxa"/>
              <w:right w:w="150" w:type="dxa"/>
            </w:tcMar>
            <w:vAlign w:val="center"/>
          </w:tcPr>
          <w:p w14:paraId="3839CDB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是AI在生成每个新token时可参照的前面tokens的数量。上下文窗口和长度越大则模型可参考的信息量就越多，生成的内容也可能更详细和丰富。但也限制了模型某一次交互中能够处理的最大token数量，包括输入和模型输出的内容只能在总量内分配这些资源</w:t>
            </w:r>
          </w:p>
          <w:p w14:paraId="18409BD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p>
        </w:tc>
      </w:tr>
      <w:tr w14:paraId="638B343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19D839D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参数量</w:t>
            </w:r>
          </w:p>
          <w:p w14:paraId="2C9F3CE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模型训练时间</w:t>
            </w:r>
          </w:p>
          <w:p w14:paraId="20247892">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训练数据截止时间</w:t>
            </w:r>
          </w:p>
        </w:tc>
        <w:tc>
          <w:tcPr>
            <w:tcW w:w="7362" w:type="dxa"/>
            <w:tcBorders>
              <w:right w:val="nil"/>
            </w:tcBorders>
            <w:shd w:val="clear" w:color="auto" w:fill="FFFFFF"/>
            <w:tcMar>
              <w:top w:w="150" w:type="dxa"/>
              <w:left w:w="150" w:type="dxa"/>
              <w:bottom w:w="150" w:type="dxa"/>
              <w:right w:w="150" w:type="dxa"/>
            </w:tcMar>
            <w:vAlign w:val="center"/>
          </w:tcPr>
          <w:p w14:paraId="44B6B7B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模型对应的参数量，1B=10亿，7B就是70亿个参数</w:t>
            </w:r>
          </w:p>
        </w:tc>
      </w:tr>
      <w:tr w14:paraId="632B89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c>
          <w:tcPr>
            <w:tcW w:w="2534" w:type="dxa"/>
            <w:tcBorders>
              <w:left w:val="nil"/>
            </w:tcBorders>
            <w:shd w:val="clear" w:color="auto" w:fill="FFFFFF"/>
            <w:tcMar>
              <w:top w:w="150" w:type="dxa"/>
              <w:left w:w="150" w:type="dxa"/>
              <w:bottom w:w="150" w:type="dxa"/>
              <w:right w:w="150" w:type="dxa"/>
            </w:tcMar>
            <w:vAlign w:val="center"/>
          </w:tcPr>
          <w:p w14:paraId="2D492F7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隐私相关</w:t>
            </w:r>
          </w:p>
          <w:p w14:paraId="58A4A9B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在线模型</w:t>
            </w:r>
          </w:p>
          <w:p w14:paraId="0882AD7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私有化</w:t>
            </w:r>
          </w:p>
          <w:p w14:paraId="44F2AB2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本地部署</w:t>
            </w:r>
          </w:p>
        </w:tc>
        <w:tc>
          <w:tcPr>
            <w:tcW w:w="7362" w:type="dxa"/>
            <w:tcBorders>
              <w:right w:val="nil"/>
            </w:tcBorders>
            <w:shd w:val="clear" w:color="auto" w:fill="FFFFFF"/>
            <w:tcMar>
              <w:top w:w="150" w:type="dxa"/>
              <w:left w:w="150" w:type="dxa"/>
              <w:bottom w:w="150" w:type="dxa"/>
              <w:right w:w="150" w:type="dxa"/>
            </w:tcMar>
            <w:vAlign w:val="center"/>
          </w:tcPr>
          <w:p w14:paraId="4CAD4E8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对数据隐私和程序安全可控的程度</w:t>
            </w:r>
          </w:p>
          <w:p w14:paraId="6246467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算力平台在互联网上提供在线模型服务</w:t>
            </w:r>
          </w:p>
          <w:p w14:paraId="2013F6A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私有化是在私有的硬件环境（含云主机）部署大模型</w:t>
            </w:r>
          </w:p>
          <w:p w14:paraId="54A738F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default" w:ascii="Times New Roman" w:hAnsi="Times New Roman" w:eastAsia="宋体" w:cs="Times New Roman"/>
                <w:sz w:val="18"/>
                <w:szCs w:val="18"/>
                <w:lang w:val="en-US" w:eastAsia="zh-CN" w:bidi="ar-SA"/>
              </w:rPr>
            </w:pPr>
            <w:r>
              <w:rPr>
                <w:rFonts w:hint="default" w:ascii="Times New Roman" w:hAnsi="Times New Roman" w:eastAsia="宋体" w:cs="Times New Roman"/>
                <w:sz w:val="18"/>
                <w:szCs w:val="18"/>
                <w:lang w:val="en-US" w:eastAsia="zh-CN" w:bidi="ar-SA"/>
              </w:rPr>
              <w:t>本地部署是将硬件环境完全控制在私域物理空间内，安全级别最高</w:t>
            </w:r>
          </w:p>
        </w:tc>
      </w:tr>
    </w:tbl>
    <w:p w14:paraId="3A595EBB">
      <w:pPr>
        <w:jc w:val="left"/>
        <w:rPr>
          <w:rFonts w:hint="eastAsia"/>
          <w:lang w:val="en-US" w:eastAsia="zh-CN"/>
        </w:rPr>
      </w:pPr>
    </w:p>
    <w:p w14:paraId="186BA18A">
      <w:pPr>
        <w:widowControl w:val="0"/>
        <w:adjustRightInd/>
        <w:spacing w:line="332" w:lineRule="atLeast"/>
        <w:ind w:firstLine="420"/>
        <w:jc w:val="both"/>
        <w:textAlignment w:val="auto"/>
        <w:rPr>
          <w:rFonts w:hint="default"/>
          <w:lang w:val="en-US" w:eastAsia="zh-CN"/>
        </w:rPr>
      </w:pPr>
      <w:r>
        <w:rPr>
          <w:rFonts w:hint="eastAsia" w:ascii="Times New Roman" w:hAnsi="Times New Roman" w:eastAsia="宋体" w:cs="Times New Roman"/>
          <w:kern w:val="2"/>
          <w:sz w:val="21"/>
          <w:lang w:val="en-US" w:eastAsia="zh-CN" w:bidi="ar-SA"/>
        </w:rPr>
        <w:t>以上是一些AIGC常用术语和操作，能够满足我们日常的基础使用。此外，还有许多与商科专业关系较浅的AIGC专业术语，有兴趣的读者可查看本书电子版，深入学习探索。</w:t>
      </w:r>
    </w:p>
    <w:p w14:paraId="129D2490">
      <w:pPr>
        <w:pStyle w:val="24"/>
        <w:numPr>
          <w:ilvl w:val="0"/>
          <w:numId w:val="0"/>
        </w:numPr>
        <w:bidi w:val="0"/>
        <w:ind w:leftChars="0"/>
        <w:rPr>
          <w:rFonts w:hint="default"/>
          <w:lang w:val="en-US" w:eastAsia="zh-CN"/>
        </w:rPr>
      </w:pPr>
      <w:r>
        <w:rPr>
          <w:rFonts w:hint="eastAsia"/>
          <w:lang w:val="en-US" w:eastAsia="zh-CN"/>
        </w:rPr>
        <w:t>1.3</w:t>
      </w:r>
      <w:r>
        <w:rPr>
          <w:lang w:val="en-US" w:eastAsia="zh-CN"/>
        </w:rPr>
        <w:t xml:space="preserve">  </w:t>
      </w:r>
      <w:r>
        <w:rPr>
          <w:rFonts w:hint="eastAsia"/>
          <w:lang w:val="en-US" w:eastAsia="zh-CN"/>
        </w:rPr>
        <w:t>AI文生文主流工具</w:t>
      </w:r>
    </w:p>
    <w:p w14:paraId="3A963DBD">
      <w:pPr>
        <w:pStyle w:val="23"/>
        <w:numPr>
          <w:ilvl w:val="0"/>
          <w:numId w:val="0"/>
        </w:numPr>
        <w:bidi w:val="0"/>
        <w:ind w:leftChars="0"/>
        <w:outlineLvl w:val="2"/>
        <w:rPr>
          <w:rFonts w:hint="eastAsia"/>
          <w:lang w:val="en-US" w:eastAsia="zh-CN"/>
        </w:rPr>
      </w:pPr>
      <w:r>
        <w:rPr>
          <w:rFonts w:hint="eastAsia"/>
          <w:lang w:val="en-US" w:eastAsia="zh-CN"/>
        </w:rPr>
        <w:t>1.3.1  国内主流大语言模型</w:t>
      </w:r>
    </w:p>
    <w:p w14:paraId="5499108A">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国内大语言模型发展迅速，</w:t>
      </w:r>
      <w:r>
        <w:rPr>
          <w:rFonts w:hint="eastAsia" w:ascii="Times New Roman" w:hAnsi="Times New Roman" w:eastAsia="宋体" w:cs="Times New Roman"/>
          <w:kern w:val="2"/>
          <w:sz w:val="21"/>
          <w:lang w:val="en-US" w:eastAsia="zh-CN" w:bidi="ar-SA"/>
        </w:rPr>
        <w:t>在</w:t>
      </w:r>
      <w:r>
        <w:rPr>
          <w:rFonts w:hint="default" w:ascii="Times New Roman" w:hAnsi="Times New Roman" w:eastAsia="宋体" w:cs="Times New Roman"/>
          <w:kern w:val="2"/>
          <w:sz w:val="21"/>
          <w:lang w:val="en-US" w:eastAsia="zh-CN" w:bidi="ar-SA"/>
        </w:rPr>
        <w:t>技术架构与应用场景</w:t>
      </w:r>
      <w:r>
        <w:rPr>
          <w:rFonts w:hint="eastAsia" w:ascii="Times New Roman" w:hAnsi="Times New Roman" w:eastAsia="宋体" w:cs="Times New Roman"/>
          <w:kern w:val="2"/>
          <w:sz w:val="21"/>
          <w:lang w:val="en-US" w:eastAsia="zh-CN" w:bidi="ar-SA"/>
        </w:rPr>
        <w:t>上均呈现百花齐放的态势</w:t>
      </w:r>
      <w:r>
        <w:rPr>
          <w:rFonts w:hint="default" w:ascii="Times New Roman" w:hAnsi="Times New Roman" w:eastAsia="宋体" w:cs="Times New Roman"/>
          <w:kern w:val="2"/>
          <w:sz w:val="21"/>
          <w:lang w:val="en-US" w:eastAsia="zh-CN" w:bidi="ar-SA"/>
        </w:rPr>
        <w:t>：</w:t>
      </w:r>
    </w:p>
    <w:p w14:paraId="7500C551">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深度求索</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DeepSeek</w:t>
      </w:r>
      <w:r>
        <w:rPr>
          <w:rFonts w:hint="eastAsia" w:ascii="Times New Roman" w:hAnsi="Times New Roman" w:eastAsia="宋体" w:cs="Times New Roman"/>
          <w:kern w:val="2"/>
          <w:sz w:val="21"/>
          <w:lang w:val="en-US" w:eastAsia="zh-CN" w:bidi="ar-SA"/>
        </w:rPr>
        <w:t>是</w:t>
      </w:r>
      <w:r>
        <w:rPr>
          <w:rFonts w:hint="default" w:ascii="Times New Roman" w:hAnsi="Times New Roman" w:eastAsia="宋体" w:cs="Times New Roman"/>
          <w:kern w:val="2"/>
          <w:sz w:val="21"/>
          <w:lang w:val="en-US" w:eastAsia="zh-CN" w:bidi="ar-SA"/>
        </w:rPr>
        <w:t>国产</w:t>
      </w:r>
      <w:r>
        <w:rPr>
          <w:rFonts w:hint="eastAsia" w:ascii="Times New Roman" w:hAnsi="Times New Roman" w:eastAsia="宋体" w:cs="Times New Roman"/>
          <w:kern w:val="2"/>
          <w:sz w:val="21"/>
          <w:lang w:val="en-US" w:eastAsia="zh-CN" w:bidi="ar-SA"/>
        </w:rPr>
        <w:t>大</w:t>
      </w:r>
      <w:r>
        <w:rPr>
          <w:rFonts w:hint="default" w:ascii="Times New Roman" w:hAnsi="Times New Roman" w:eastAsia="宋体" w:cs="Times New Roman"/>
          <w:kern w:val="2"/>
          <w:sz w:val="21"/>
          <w:lang w:val="en-US" w:eastAsia="zh-CN" w:bidi="ar-SA"/>
        </w:rPr>
        <w:t>模型</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代表，采用MoE（专家混合）架构实现高效率</w:t>
      </w:r>
      <w:r>
        <w:rPr>
          <w:rFonts w:hint="eastAsia" w:ascii="Times New Roman" w:hAnsi="Times New Roman" w:eastAsia="宋体" w:cs="Times New Roman"/>
          <w:kern w:val="2"/>
          <w:sz w:val="21"/>
          <w:lang w:val="en-US" w:eastAsia="zh-CN" w:bidi="ar-SA"/>
        </w:rPr>
        <w:t>训练和推理。</w:t>
      </w:r>
    </w:p>
    <w:p w14:paraId="72E6F321">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通义千问</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阿里巴巴自研模型</w:t>
      </w:r>
      <w:r>
        <w:rPr>
          <w:rFonts w:hint="eastAsia" w:ascii="Times New Roman" w:hAnsi="Times New Roman" w:eastAsia="宋体" w:cs="Times New Roman"/>
          <w:kern w:val="2"/>
          <w:sz w:val="21"/>
          <w:lang w:val="en-US" w:eastAsia="zh-CN" w:bidi="ar-SA"/>
        </w:rPr>
        <w:t>Qwen</w:t>
      </w:r>
      <w:r>
        <w:rPr>
          <w:rFonts w:hint="default" w:ascii="Times New Roman" w:hAnsi="Times New Roman" w:eastAsia="宋体" w:cs="Times New Roman"/>
          <w:kern w:val="2"/>
          <w:sz w:val="21"/>
          <w:lang w:val="en-US" w:eastAsia="zh-CN" w:bidi="ar-SA"/>
        </w:rPr>
        <w:t>，具备良好的数学推理与多轮对话能力，适合学术和工程场景。</w:t>
      </w:r>
    </w:p>
    <w:p w14:paraId="0ECDDD74">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智谱清言</w:t>
      </w:r>
      <w:r>
        <w:rPr>
          <w:rFonts w:hint="default" w:ascii="Times New Roman" w:hAnsi="Times New Roman" w:eastAsia="宋体" w:cs="Times New Roman"/>
          <w:kern w:val="2"/>
          <w:sz w:val="21"/>
          <w:lang w:val="en-US" w:eastAsia="zh-CN" w:bidi="ar-SA"/>
        </w:rPr>
        <w:t>：参数量达万亿级，采用稠密参数高效训练技术，</w:t>
      </w:r>
      <w:r>
        <w:rPr>
          <w:rFonts w:hint="eastAsia" w:ascii="Times New Roman" w:hAnsi="Times New Roman" w:eastAsia="宋体" w:cs="Times New Roman"/>
          <w:kern w:val="2"/>
          <w:sz w:val="21"/>
          <w:lang w:val="en-US" w:eastAsia="zh-CN" w:bidi="ar-SA"/>
        </w:rPr>
        <w:t>开源生态</w:t>
      </w:r>
      <w:r>
        <w:rPr>
          <w:rFonts w:hint="default" w:ascii="Times New Roman" w:hAnsi="Times New Roman" w:eastAsia="宋体" w:cs="Times New Roman"/>
          <w:kern w:val="2"/>
          <w:sz w:val="21"/>
          <w:lang w:val="en-US" w:eastAsia="zh-CN" w:bidi="ar-SA"/>
        </w:rPr>
        <w:t>广泛应用于科研、教育领域。</w:t>
      </w:r>
    </w:p>
    <w:p w14:paraId="60C5EDCC">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面壁智能：依托清华学术背景，致力于通用人工智能基础研究，并积极推动开源生态建设。</w:t>
      </w:r>
    </w:p>
    <w:p w14:paraId="12F98414">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百川智能：专注于专业领域和机构应用的高效，提供可靠大型语言模型解决方案。</w:t>
      </w:r>
    </w:p>
    <w:p w14:paraId="43DC16DE">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商汤科技：商汤</w:t>
      </w:r>
      <w:r>
        <w:rPr>
          <w:rFonts w:hint="default" w:ascii="Times New Roman" w:hAnsi="Times New Roman" w:eastAsia="宋体" w:cs="Times New Roman"/>
          <w:kern w:val="2"/>
          <w:sz w:val="21"/>
          <w:lang w:val="en-US" w:eastAsia="zh-CN" w:bidi="ar-SA"/>
        </w:rPr>
        <w:t>AI在计算机视觉方面优势显著，可应用于虚拟实验室、课堂互动</w:t>
      </w:r>
      <w:r>
        <w:rPr>
          <w:rFonts w:hint="eastAsia" w:ascii="Times New Roman" w:hAnsi="Times New Roman" w:eastAsia="宋体" w:cs="Times New Roman"/>
          <w:kern w:val="2"/>
          <w:sz w:val="21"/>
          <w:lang w:val="en-US" w:eastAsia="zh-CN" w:bidi="ar-SA"/>
        </w:rPr>
        <w:t>。</w:t>
      </w:r>
    </w:p>
    <w:p w14:paraId="78D22AE8">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零一万物：聚焦全球化市场布局，着力于开发面向终端消费者的轻量级人工智能应用。</w:t>
      </w:r>
    </w:p>
    <w:p w14:paraId="38F928C6">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秘塔写作：</w:t>
      </w:r>
      <w:r>
        <w:rPr>
          <w:rFonts w:hint="default" w:ascii="Times New Roman" w:hAnsi="Times New Roman" w:eastAsia="宋体" w:cs="Times New Roman"/>
          <w:kern w:val="2"/>
          <w:sz w:val="21"/>
          <w:lang w:val="en-US" w:eastAsia="zh-CN" w:bidi="ar-SA"/>
        </w:rPr>
        <w:t>提供智能文本纠错、改写、润色和自动续写等功能，适合日常写作和学术</w:t>
      </w:r>
      <w:r>
        <w:rPr>
          <w:rFonts w:hint="eastAsia" w:ascii="Times New Roman" w:hAnsi="Times New Roman" w:eastAsia="宋体" w:cs="Times New Roman"/>
          <w:kern w:val="2"/>
          <w:sz w:val="21"/>
          <w:lang w:val="en-US" w:eastAsia="zh-CN" w:bidi="ar-SA"/>
        </w:rPr>
        <w:t>检索、</w:t>
      </w:r>
      <w:r>
        <w:rPr>
          <w:rFonts w:hint="default" w:ascii="Times New Roman" w:hAnsi="Times New Roman" w:eastAsia="宋体" w:cs="Times New Roman"/>
          <w:kern w:val="2"/>
          <w:sz w:val="21"/>
          <w:lang w:val="en-US" w:eastAsia="zh-CN" w:bidi="ar-SA"/>
        </w:rPr>
        <w:t>写作</w:t>
      </w:r>
      <w:r>
        <w:rPr>
          <w:rFonts w:hint="eastAsia" w:ascii="Times New Roman" w:hAnsi="Times New Roman" w:eastAsia="宋体" w:cs="Times New Roman"/>
          <w:kern w:val="2"/>
          <w:sz w:val="21"/>
          <w:lang w:val="en-US" w:eastAsia="zh-CN" w:bidi="ar-SA"/>
        </w:rPr>
        <w:t>。</w:t>
      </w:r>
    </w:p>
    <w:p w14:paraId="42E8A685">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讯飞</w:t>
      </w:r>
      <w:r>
        <w:rPr>
          <w:rFonts w:hint="default" w:ascii="Times New Roman" w:hAnsi="Times New Roman" w:eastAsia="宋体" w:cs="Times New Roman"/>
          <w:kern w:val="2"/>
          <w:sz w:val="21"/>
          <w:lang w:val="en-US" w:eastAsia="zh-CN" w:bidi="ar-SA"/>
        </w:rPr>
        <w:t xml:space="preserve">星火：具备强大的语音识别处理能力，适用在线教育，能够辅助商科教学与研究。 </w:t>
      </w:r>
    </w:p>
    <w:p w14:paraId="1DAD3DEB">
      <w:pPr>
        <w:widowControl w:val="0"/>
        <w:adjustRightInd/>
        <w:spacing w:line="332" w:lineRule="atLeast"/>
        <w:ind w:firstLine="420"/>
        <w:jc w:val="both"/>
        <w:textAlignment w:val="auto"/>
      </w:pPr>
      <w:r>
        <w:rPr>
          <w:rFonts w:hint="default" w:ascii="Times New Roman" w:hAnsi="Times New Roman" w:eastAsia="宋体" w:cs="Times New Roman"/>
          <w:kern w:val="2"/>
          <w:sz w:val="21"/>
          <w:lang w:val="en-US" w:eastAsia="zh-CN" w:bidi="ar-SA"/>
        </w:rPr>
        <w:t>这些模型依托各企业的算力资源与行业</w:t>
      </w:r>
      <w:r>
        <w:rPr>
          <w:rFonts w:hint="eastAsia" w:ascii="Times New Roman" w:hAnsi="Times New Roman" w:eastAsia="宋体" w:cs="Times New Roman"/>
          <w:kern w:val="2"/>
          <w:sz w:val="21"/>
          <w:lang w:val="en-US" w:eastAsia="zh-CN" w:bidi="ar-SA"/>
        </w:rPr>
        <w:t>技术</w:t>
      </w:r>
      <w:r>
        <w:rPr>
          <w:rFonts w:hint="default" w:ascii="Times New Roman" w:hAnsi="Times New Roman" w:eastAsia="宋体" w:cs="Times New Roman"/>
          <w:kern w:val="2"/>
          <w:sz w:val="21"/>
          <w:lang w:val="en-US" w:eastAsia="zh-CN" w:bidi="ar-SA"/>
        </w:rPr>
        <w:t>积累，在自然语言处理、多模态交互、垂直领域应用等方面形成差异化，共同推动国内人工智能技术生态的多元化发展。其他重要参与者如</w:t>
      </w:r>
      <w:r>
        <w:rPr>
          <w:rFonts w:hint="eastAsia" w:ascii="Times New Roman" w:hAnsi="Times New Roman" w:eastAsia="宋体" w:cs="Times New Roman"/>
          <w:kern w:val="2"/>
          <w:sz w:val="21"/>
          <w:lang w:val="en-US" w:eastAsia="zh-CN" w:bidi="ar-SA"/>
        </w:rPr>
        <w:t>文心一言、Kimi、豆包、元宝、天工AI、纳米AI、盘古大模型</w:t>
      </w:r>
      <w:r>
        <w:rPr>
          <w:rFonts w:hint="default" w:ascii="Times New Roman" w:hAnsi="Times New Roman" w:eastAsia="宋体" w:cs="Times New Roman"/>
          <w:kern w:val="2"/>
          <w:sz w:val="21"/>
          <w:lang w:val="en-US" w:eastAsia="zh-CN" w:bidi="ar-SA"/>
        </w:rPr>
        <w:t>等，</w:t>
      </w:r>
      <w:r>
        <w:rPr>
          <w:rFonts w:hint="eastAsia" w:ascii="Times New Roman" w:hAnsi="Times New Roman" w:eastAsia="宋体" w:cs="Times New Roman"/>
          <w:kern w:val="2"/>
          <w:sz w:val="21"/>
          <w:lang w:val="en-US" w:eastAsia="zh-CN" w:bidi="ar-SA"/>
        </w:rPr>
        <w:t>均在</w:t>
      </w:r>
      <w:r>
        <w:rPr>
          <w:rFonts w:hint="default" w:ascii="Times New Roman" w:hAnsi="Times New Roman" w:eastAsia="宋体" w:cs="Times New Roman"/>
          <w:kern w:val="2"/>
          <w:sz w:val="21"/>
          <w:lang w:val="en-US" w:eastAsia="zh-CN" w:bidi="ar-SA"/>
        </w:rPr>
        <w:t>通过差异化技术路线共同构建国产</w:t>
      </w:r>
      <w:r>
        <w:rPr>
          <w:rFonts w:hint="eastAsia" w:ascii="Times New Roman" w:hAnsi="Times New Roman" w:eastAsia="宋体" w:cs="Times New Roman"/>
          <w:kern w:val="2"/>
          <w:sz w:val="21"/>
          <w:lang w:val="en-US" w:eastAsia="zh-CN" w:bidi="ar-SA"/>
        </w:rPr>
        <w:t>AI</w:t>
      </w:r>
      <w:r>
        <w:rPr>
          <w:rFonts w:hint="default" w:ascii="Times New Roman" w:hAnsi="Times New Roman" w:eastAsia="宋体" w:cs="Times New Roman"/>
          <w:kern w:val="2"/>
          <w:sz w:val="21"/>
          <w:lang w:val="en-US" w:eastAsia="zh-CN" w:bidi="ar-SA"/>
        </w:rPr>
        <w:t>大模型矩阵</w:t>
      </w:r>
      <w:r>
        <w:rPr>
          <w:rFonts w:hint="eastAsia" w:ascii="Times New Roman" w:hAnsi="Times New Roman" w:eastAsia="宋体" w:cs="Times New Roman"/>
          <w:kern w:val="2"/>
          <w:sz w:val="21"/>
          <w:lang w:val="en-US" w:eastAsia="zh-CN" w:bidi="ar-SA"/>
        </w:rPr>
        <w:t>，</w:t>
      </w:r>
      <w:r>
        <w:rPr>
          <w:rFonts w:hint="default" w:ascii="Times New Roman" w:hAnsi="Times New Roman" w:eastAsia="宋体" w:cs="Times New Roman"/>
          <w:kern w:val="2"/>
          <w:sz w:val="21"/>
          <w:lang w:val="en-US" w:eastAsia="zh-CN" w:bidi="ar-SA"/>
        </w:rPr>
        <w:t>持续推动生成式AI技术在国内科研与</w:t>
      </w:r>
      <w:r>
        <w:rPr>
          <w:rFonts w:hint="eastAsia" w:ascii="Times New Roman" w:hAnsi="Times New Roman" w:eastAsia="宋体" w:cs="Times New Roman"/>
          <w:kern w:val="2"/>
          <w:sz w:val="21"/>
          <w:lang w:val="en-US" w:eastAsia="zh-CN" w:bidi="ar-SA"/>
        </w:rPr>
        <w:t>教育</w:t>
      </w:r>
      <w:r>
        <w:rPr>
          <w:rFonts w:hint="default" w:ascii="Times New Roman" w:hAnsi="Times New Roman" w:eastAsia="宋体" w:cs="Times New Roman"/>
          <w:kern w:val="2"/>
          <w:sz w:val="21"/>
          <w:lang w:val="en-US" w:eastAsia="zh-CN" w:bidi="ar-SA"/>
        </w:rPr>
        <w:t>产业场景的应用。</w:t>
      </w:r>
    </w:p>
    <w:p w14:paraId="70476C4E">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1.3.2  </w:t>
      </w:r>
      <w:r>
        <w:rPr>
          <w:rFonts w:hint="eastAsia" w:ascii="Arial" w:hAnsi="Arial"/>
          <w:lang w:val="en-US" w:eastAsia="zh-CN"/>
        </w:rPr>
        <w:t>使用权限与成本结构分析</w:t>
      </w:r>
    </w:p>
    <w:p w14:paraId="2ABAA127">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当前国内主流的大语言模型在商业化应用时，其使用权限和成本结构呈现出不同的模式。对于闭源商业模型，</w:t>
      </w:r>
      <w:r>
        <w:rPr>
          <w:rFonts w:hint="eastAsia" w:ascii="Times New Roman" w:hAnsi="Times New Roman" w:eastAsia="宋体" w:cs="Times New Roman"/>
          <w:kern w:val="2"/>
          <w:sz w:val="21"/>
          <w:lang w:val="en-US" w:eastAsia="zh-CN" w:bidi="ar-SA"/>
        </w:rPr>
        <w:t>机构用户</w:t>
      </w:r>
      <w:r>
        <w:rPr>
          <w:rFonts w:hint="default" w:ascii="Times New Roman" w:hAnsi="Times New Roman" w:eastAsia="宋体" w:cs="Times New Roman"/>
          <w:kern w:val="2"/>
          <w:sz w:val="21"/>
          <w:lang w:val="en-US" w:eastAsia="zh-CN" w:bidi="ar-SA"/>
        </w:rPr>
        <w:t>通常需要签订正式的商用授权协议才能</w:t>
      </w:r>
      <w:r>
        <w:rPr>
          <w:rFonts w:hint="eastAsia" w:ascii="Times New Roman" w:hAnsi="Times New Roman" w:eastAsia="宋体" w:cs="Times New Roman"/>
          <w:kern w:val="2"/>
          <w:sz w:val="21"/>
          <w:lang w:val="en-US" w:eastAsia="zh-CN" w:bidi="ar-SA"/>
        </w:rPr>
        <w:t>商用</w:t>
      </w:r>
      <w:r>
        <w:rPr>
          <w:rFonts w:hint="default" w:ascii="Times New Roman" w:hAnsi="Times New Roman" w:eastAsia="宋体" w:cs="Times New Roman"/>
          <w:kern w:val="2"/>
          <w:sz w:val="21"/>
          <w:lang w:val="en-US" w:eastAsia="zh-CN" w:bidi="ar-SA"/>
        </w:rPr>
        <w:t>。</w:t>
      </w:r>
    </w:p>
    <w:p w14:paraId="1B7E1BBF">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default" w:ascii="Times New Roman" w:hAnsi="Times New Roman" w:eastAsia="宋体" w:cs="Times New Roman"/>
          <w:kern w:val="2"/>
          <w:sz w:val="21"/>
          <w:lang w:val="en-US" w:eastAsia="zh-CN" w:bidi="ar-SA"/>
        </w:rPr>
        <w:t>开源</w:t>
      </w:r>
      <w:r>
        <w:rPr>
          <w:rFonts w:hint="eastAsia" w:ascii="Times New Roman" w:hAnsi="Times New Roman" w:eastAsia="宋体" w:cs="Times New Roman"/>
          <w:kern w:val="2"/>
          <w:sz w:val="21"/>
          <w:lang w:val="en-US" w:eastAsia="zh-CN" w:bidi="ar-SA"/>
        </w:rPr>
        <w:t>大</w:t>
      </w:r>
      <w:r>
        <w:rPr>
          <w:rFonts w:hint="default" w:ascii="Times New Roman" w:hAnsi="Times New Roman" w:eastAsia="宋体" w:cs="Times New Roman"/>
          <w:kern w:val="2"/>
          <w:sz w:val="21"/>
          <w:lang w:val="en-US" w:eastAsia="zh-CN" w:bidi="ar-SA"/>
        </w:rPr>
        <w:t>模型如通义千问</w:t>
      </w:r>
      <w:r>
        <w:rPr>
          <w:rFonts w:hint="eastAsia" w:ascii="Times New Roman" w:hAnsi="Times New Roman" w:eastAsia="宋体" w:cs="Times New Roman"/>
          <w:kern w:val="2"/>
          <w:sz w:val="21"/>
          <w:lang w:val="en-US" w:eastAsia="zh-CN" w:bidi="ar-SA"/>
        </w:rPr>
        <w:t>Qwen</w:t>
      </w:r>
      <w:r>
        <w:rPr>
          <w:rFonts w:hint="default" w:ascii="Times New Roman" w:hAnsi="Times New Roman" w:eastAsia="宋体" w:cs="Times New Roman"/>
          <w:kern w:val="2"/>
          <w:sz w:val="21"/>
          <w:lang w:val="en-US" w:eastAsia="zh-CN" w:bidi="ar-SA"/>
        </w:rPr>
        <w:t>、DeepSeek</w:t>
      </w:r>
      <w:r>
        <w:rPr>
          <w:rFonts w:hint="eastAsia" w:ascii="Times New Roman" w:hAnsi="Times New Roman" w:eastAsia="宋体" w:cs="Times New Roman"/>
          <w:kern w:val="2"/>
          <w:sz w:val="21"/>
          <w:lang w:val="en-US" w:eastAsia="zh-CN" w:bidi="ar-SA"/>
        </w:rPr>
        <w:t>等厂商</w:t>
      </w:r>
      <w:r>
        <w:rPr>
          <w:rFonts w:hint="default" w:ascii="Times New Roman" w:hAnsi="Times New Roman" w:eastAsia="宋体" w:cs="Times New Roman"/>
          <w:kern w:val="2"/>
          <w:sz w:val="21"/>
          <w:lang w:val="en-US" w:eastAsia="zh-CN" w:bidi="ar-SA"/>
        </w:rPr>
        <w:t>则提供了更宽松的权限。</w:t>
      </w:r>
      <w:r>
        <w:rPr>
          <w:rFonts w:hint="eastAsia" w:ascii="Times New Roman" w:hAnsi="Times New Roman" w:eastAsia="宋体" w:cs="Times New Roman"/>
          <w:kern w:val="2"/>
          <w:sz w:val="21"/>
          <w:lang w:val="en-US" w:eastAsia="zh-CN" w:bidi="ar-SA"/>
        </w:rPr>
        <w:t>在</w:t>
      </w:r>
      <w:r>
        <w:rPr>
          <w:rFonts w:hint="default" w:ascii="Times New Roman" w:hAnsi="Times New Roman" w:eastAsia="宋体" w:cs="Times New Roman"/>
          <w:kern w:val="2"/>
          <w:sz w:val="21"/>
          <w:lang w:val="en-US" w:eastAsia="zh-CN" w:bidi="ar-SA"/>
        </w:rPr>
        <w:t>遵守开源协议</w:t>
      </w:r>
      <w:r>
        <w:rPr>
          <w:rFonts w:hint="eastAsia" w:ascii="Times New Roman" w:hAnsi="Times New Roman" w:eastAsia="宋体" w:cs="Times New Roman"/>
          <w:kern w:val="2"/>
          <w:sz w:val="21"/>
          <w:lang w:val="en-US" w:eastAsia="zh-CN" w:bidi="ar-SA"/>
        </w:rPr>
        <w:t>和</w:t>
      </w:r>
      <w:r>
        <w:rPr>
          <w:rFonts w:hint="default" w:ascii="Times New Roman" w:hAnsi="Times New Roman" w:eastAsia="宋体" w:cs="Times New Roman"/>
          <w:kern w:val="2"/>
          <w:sz w:val="21"/>
          <w:lang w:val="en-US" w:eastAsia="zh-CN" w:bidi="ar-SA"/>
        </w:rPr>
        <w:t>版权</w:t>
      </w:r>
      <w:r>
        <w:rPr>
          <w:rFonts w:hint="eastAsia" w:ascii="Times New Roman" w:hAnsi="Times New Roman" w:eastAsia="宋体" w:cs="Times New Roman"/>
          <w:kern w:val="2"/>
          <w:sz w:val="21"/>
          <w:lang w:val="en-US" w:eastAsia="zh-CN" w:bidi="ar-SA"/>
        </w:rPr>
        <w:t>要求的前提下被</w:t>
      </w:r>
      <w:r>
        <w:rPr>
          <w:rFonts w:hint="default" w:ascii="Times New Roman" w:hAnsi="Times New Roman" w:eastAsia="宋体" w:cs="Times New Roman"/>
          <w:kern w:val="2"/>
          <w:sz w:val="21"/>
          <w:lang w:val="en-US" w:eastAsia="zh-CN" w:bidi="ar-SA"/>
        </w:rPr>
        <w:t>允许免费商用。成本主要</w:t>
      </w:r>
      <w:r>
        <w:rPr>
          <w:rFonts w:hint="eastAsia" w:ascii="Times New Roman" w:hAnsi="Times New Roman" w:eastAsia="宋体" w:cs="Times New Roman"/>
          <w:kern w:val="2"/>
          <w:sz w:val="21"/>
          <w:lang w:val="en-US" w:eastAsia="zh-CN" w:bidi="ar-SA"/>
        </w:rPr>
        <w:t>有</w:t>
      </w:r>
      <w:r>
        <w:rPr>
          <w:rFonts w:hint="default" w:ascii="Times New Roman" w:hAnsi="Times New Roman" w:eastAsia="宋体" w:cs="Times New Roman"/>
          <w:kern w:val="2"/>
          <w:sz w:val="21"/>
          <w:lang w:val="en-US" w:eastAsia="zh-CN" w:bidi="ar-SA"/>
        </w:rPr>
        <w:t>本地部署运行模型时支撑</w:t>
      </w:r>
      <w:r>
        <w:rPr>
          <w:rFonts w:hint="eastAsia" w:ascii="Times New Roman" w:hAnsi="Times New Roman" w:eastAsia="宋体" w:cs="Times New Roman"/>
          <w:kern w:val="2"/>
          <w:sz w:val="21"/>
          <w:lang w:val="en-US" w:eastAsia="zh-CN" w:bidi="ar-SA"/>
        </w:rPr>
        <w:t>其</w:t>
      </w:r>
      <w:r>
        <w:rPr>
          <w:rFonts w:hint="default" w:ascii="Times New Roman" w:hAnsi="Times New Roman" w:eastAsia="宋体" w:cs="Times New Roman"/>
          <w:kern w:val="2"/>
          <w:sz w:val="21"/>
          <w:lang w:val="en-US" w:eastAsia="zh-CN" w:bidi="ar-SA"/>
        </w:rPr>
        <w:t>运行的</w:t>
      </w:r>
      <w:r>
        <w:rPr>
          <w:rFonts w:hint="eastAsia" w:ascii="Times New Roman" w:hAnsi="Times New Roman" w:eastAsia="宋体" w:cs="Times New Roman"/>
          <w:kern w:val="2"/>
          <w:sz w:val="21"/>
          <w:lang w:val="en-US" w:eastAsia="zh-CN" w:bidi="ar-SA"/>
        </w:rPr>
        <w:t>算力</w:t>
      </w:r>
      <w:r>
        <w:rPr>
          <w:rFonts w:hint="default" w:ascii="Times New Roman" w:hAnsi="Times New Roman" w:eastAsia="宋体" w:cs="Times New Roman"/>
          <w:kern w:val="2"/>
          <w:sz w:val="21"/>
          <w:lang w:val="en-US" w:eastAsia="zh-CN" w:bidi="ar-SA"/>
        </w:rPr>
        <w:t>硬件</w:t>
      </w:r>
      <w:r>
        <w:rPr>
          <w:rFonts w:hint="eastAsia" w:ascii="Times New Roman" w:hAnsi="Times New Roman" w:eastAsia="宋体" w:cs="Times New Roman"/>
          <w:kern w:val="2"/>
          <w:sz w:val="21"/>
          <w:lang w:val="en-US" w:eastAsia="zh-CN" w:bidi="ar-SA"/>
        </w:rPr>
        <w:t>、能源</w:t>
      </w:r>
      <w:r>
        <w:rPr>
          <w:rFonts w:hint="default" w:ascii="Times New Roman" w:hAnsi="Times New Roman" w:eastAsia="宋体" w:cs="Times New Roman"/>
          <w:kern w:val="2"/>
          <w:sz w:val="21"/>
          <w:lang w:val="en-US" w:eastAsia="zh-CN" w:bidi="ar-SA"/>
        </w:rPr>
        <w:t>消耗</w:t>
      </w:r>
      <w:r>
        <w:rPr>
          <w:rFonts w:hint="eastAsia" w:ascii="Times New Roman" w:hAnsi="Times New Roman" w:eastAsia="宋体" w:cs="Times New Roman"/>
          <w:kern w:val="2"/>
          <w:sz w:val="21"/>
          <w:lang w:val="en-US" w:eastAsia="zh-CN" w:bidi="ar-SA"/>
        </w:rPr>
        <w:t>和技术维护劳务成本。若</w:t>
      </w:r>
      <w:r>
        <w:rPr>
          <w:rFonts w:hint="default" w:ascii="Times New Roman" w:hAnsi="Times New Roman" w:eastAsia="宋体" w:cs="Times New Roman"/>
          <w:kern w:val="2"/>
          <w:sz w:val="21"/>
          <w:lang w:val="en-US" w:eastAsia="zh-CN" w:bidi="ar-SA"/>
        </w:rPr>
        <w:t>通过公有云服务调用</w:t>
      </w:r>
      <w:r>
        <w:rPr>
          <w:rFonts w:hint="eastAsia" w:ascii="Times New Roman" w:hAnsi="Times New Roman" w:eastAsia="宋体" w:cs="Times New Roman"/>
          <w:kern w:val="2"/>
          <w:sz w:val="21"/>
          <w:lang w:val="en-US" w:eastAsia="zh-CN" w:bidi="ar-SA"/>
        </w:rPr>
        <w:t>大</w:t>
      </w:r>
      <w:r>
        <w:rPr>
          <w:rFonts w:hint="default" w:ascii="Times New Roman" w:hAnsi="Times New Roman" w:eastAsia="宋体" w:cs="Times New Roman"/>
          <w:kern w:val="2"/>
          <w:sz w:val="21"/>
          <w:lang w:val="en-US" w:eastAsia="zh-CN" w:bidi="ar-SA"/>
        </w:rPr>
        <w:t>模型</w:t>
      </w:r>
      <w:r>
        <w:rPr>
          <w:rFonts w:hint="eastAsia" w:ascii="Times New Roman" w:hAnsi="Times New Roman" w:eastAsia="宋体" w:cs="Times New Roman"/>
          <w:kern w:val="2"/>
          <w:sz w:val="21"/>
          <w:lang w:val="en-US" w:eastAsia="zh-CN" w:bidi="ar-SA"/>
        </w:rPr>
        <w:t>的</w:t>
      </w:r>
      <w:r>
        <w:rPr>
          <w:rFonts w:hint="default" w:ascii="Times New Roman" w:hAnsi="Times New Roman" w:eastAsia="宋体" w:cs="Times New Roman"/>
          <w:kern w:val="2"/>
          <w:sz w:val="21"/>
          <w:lang w:val="en-US" w:eastAsia="zh-CN" w:bidi="ar-SA"/>
        </w:rPr>
        <w:t>API</w:t>
      </w:r>
      <w:r>
        <w:rPr>
          <w:rFonts w:hint="eastAsia" w:ascii="Times New Roman" w:hAnsi="Times New Roman" w:eastAsia="宋体" w:cs="Times New Roman"/>
          <w:kern w:val="2"/>
          <w:sz w:val="21"/>
          <w:lang w:val="en-US" w:eastAsia="zh-CN" w:bidi="ar-SA"/>
        </w:rPr>
        <w:t xml:space="preserve"> key</w:t>
      </w:r>
      <w:r>
        <w:rPr>
          <w:rFonts w:hint="default" w:ascii="Times New Roman" w:hAnsi="Times New Roman" w:eastAsia="宋体" w:cs="Times New Roman"/>
          <w:kern w:val="2"/>
          <w:sz w:val="21"/>
          <w:lang w:val="en-US" w:eastAsia="zh-CN" w:bidi="ar-SA"/>
        </w:rPr>
        <w:t>则按调用量和文本量</w:t>
      </w:r>
      <w:r>
        <w:rPr>
          <w:rFonts w:hint="eastAsia" w:ascii="Times New Roman" w:hAnsi="Times New Roman" w:eastAsia="宋体" w:cs="Times New Roman"/>
          <w:kern w:val="2"/>
          <w:sz w:val="21"/>
          <w:lang w:val="en-US" w:eastAsia="zh-CN" w:bidi="ar-SA"/>
        </w:rPr>
        <w:t>即Token使用量来</w:t>
      </w:r>
      <w:r>
        <w:rPr>
          <w:rFonts w:hint="default" w:ascii="Times New Roman" w:hAnsi="Times New Roman" w:eastAsia="宋体" w:cs="Times New Roman"/>
          <w:kern w:val="2"/>
          <w:sz w:val="21"/>
          <w:lang w:val="en-US" w:eastAsia="zh-CN" w:bidi="ar-SA"/>
        </w:rPr>
        <w:t>计费；若</w:t>
      </w:r>
      <w:r>
        <w:rPr>
          <w:rFonts w:hint="eastAsia" w:ascii="Times New Roman" w:hAnsi="Times New Roman" w:eastAsia="宋体" w:cs="Times New Roman"/>
          <w:kern w:val="2"/>
          <w:sz w:val="21"/>
          <w:lang w:val="en-US" w:eastAsia="zh-CN" w:bidi="ar-SA"/>
        </w:rPr>
        <w:t>算力平台</w:t>
      </w:r>
      <w:r>
        <w:rPr>
          <w:rFonts w:hint="default" w:ascii="Times New Roman" w:hAnsi="Times New Roman" w:eastAsia="宋体" w:cs="Times New Roman"/>
          <w:kern w:val="2"/>
          <w:sz w:val="21"/>
          <w:lang w:val="en-US" w:eastAsia="zh-CN" w:bidi="ar-SA"/>
        </w:rPr>
        <w:t>服务商</w:t>
      </w:r>
      <w:r>
        <w:rPr>
          <w:rFonts w:hint="eastAsia" w:ascii="Times New Roman" w:hAnsi="Times New Roman" w:eastAsia="宋体" w:cs="Times New Roman"/>
          <w:kern w:val="2"/>
          <w:sz w:val="21"/>
          <w:lang w:val="en-US" w:eastAsia="zh-CN" w:bidi="ar-SA"/>
        </w:rPr>
        <w:t>允许客户</w:t>
      </w:r>
      <w:r>
        <w:rPr>
          <w:rFonts w:hint="default" w:ascii="Times New Roman" w:hAnsi="Times New Roman" w:eastAsia="宋体" w:cs="Times New Roman"/>
          <w:kern w:val="2"/>
          <w:sz w:val="21"/>
          <w:lang w:val="en-US" w:eastAsia="zh-CN" w:bidi="ar-SA"/>
        </w:rPr>
        <w:t>对模型进行定制微调，</w:t>
      </w:r>
      <w:r>
        <w:rPr>
          <w:rFonts w:hint="eastAsia" w:ascii="Times New Roman" w:hAnsi="Times New Roman" w:eastAsia="宋体" w:cs="Times New Roman"/>
          <w:kern w:val="2"/>
          <w:sz w:val="21"/>
          <w:lang w:val="en-US" w:eastAsia="zh-CN" w:bidi="ar-SA"/>
        </w:rPr>
        <w:t>则一般</w:t>
      </w:r>
      <w:r>
        <w:rPr>
          <w:rFonts w:hint="default" w:ascii="Times New Roman" w:hAnsi="Times New Roman" w:eastAsia="宋体" w:cs="Times New Roman"/>
          <w:kern w:val="2"/>
          <w:sz w:val="21"/>
          <w:lang w:val="en-US" w:eastAsia="zh-CN" w:bidi="ar-SA"/>
        </w:rPr>
        <w:t>会根据使用的算力</w:t>
      </w:r>
      <w:r>
        <w:rPr>
          <w:rFonts w:hint="eastAsia" w:ascii="Times New Roman" w:hAnsi="Times New Roman" w:eastAsia="宋体" w:cs="Times New Roman"/>
          <w:kern w:val="2"/>
          <w:sz w:val="21"/>
          <w:lang w:val="en-US" w:eastAsia="zh-CN" w:bidi="ar-SA"/>
        </w:rPr>
        <w:t>设备和</w:t>
      </w:r>
      <w:r>
        <w:rPr>
          <w:rFonts w:hint="default" w:ascii="Times New Roman" w:hAnsi="Times New Roman" w:eastAsia="宋体" w:cs="Times New Roman"/>
          <w:kern w:val="2"/>
          <w:sz w:val="21"/>
          <w:lang w:val="en-US" w:eastAsia="zh-CN" w:bidi="ar-SA"/>
        </w:rPr>
        <w:t>时长</w:t>
      </w:r>
      <w:r>
        <w:rPr>
          <w:rFonts w:hint="eastAsia" w:ascii="Times New Roman" w:hAnsi="Times New Roman" w:eastAsia="宋体" w:cs="Times New Roman"/>
          <w:kern w:val="2"/>
          <w:sz w:val="21"/>
          <w:lang w:val="en-US" w:eastAsia="zh-CN" w:bidi="ar-SA"/>
        </w:rPr>
        <w:t>来</w:t>
      </w:r>
      <w:r>
        <w:rPr>
          <w:rFonts w:hint="default" w:ascii="Times New Roman" w:hAnsi="Times New Roman" w:eastAsia="宋体" w:cs="Times New Roman"/>
          <w:kern w:val="2"/>
          <w:sz w:val="21"/>
          <w:lang w:val="en-US" w:eastAsia="zh-CN" w:bidi="ar-SA"/>
        </w:rPr>
        <w:t>收费。</w:t>
      </w:r>
    </w:p>
    <w:p w14:paraId="38C7964E">
      <w:pPr>
        <w:widowControl w:val="0"/>
        <w:adjustRightInd/>
        <w:spacing w:line="332" w:lineRule="atLeast"/>
        <w:ind w:firstLine="420"/>
        <w:jc w:val="both"/>
        <w:textAlignment w:val="auto"/>
      </w:pPr>
      <w:r>
        <w:rPr>
          <w:rFonts w:hint="default" w:ascii="Times New Roman" w:hAnsi="Times New Roman" w:eastAsia="宋体" w:cs="Times New Roman"/>
          <w:kern w:val="2"/>
          <w:sz w:val="21"/>
          <w:lang w:val="en-US" w:eastAsia="zh-CN" w:bidi="ar-SA"/>
        </w:rPr>
        <w:t>部分模型则采用混合模式，其特点是基础模型开源免费，但高级功能则可能触发商业授权限制。在成本上</w:t>
      </w:r>
      <w:r>
        <w:rPr>
          <w:rFonts w:hint="eastAsia" w:ascii="Times New Roman" w:hAnsi="Times New Roman" w:eastAsia="宋体" w:cs="Times New Roman"/>
          <w:kern w:val="2"/>
          <w:sz w:val="21"/>
          <w:lang w:val="en-US" w:eastAsia="zh-CN" w:bidi="ar-SA"/>
        </w:rPr>
        <w:t>使用</w:t>
      </w:r>
      <w:r>
        <w:rPr>
          <w:rFonts w:hint="default" w:ascii="Times New Roman" w:hAnsi="Times New Roman" w:eastAsia="宋体" w:cs="Times New Roman"/>
          <w:kern w:val="2"/>
          <w:sz w:val="21"/>
          <w:lang w:val="en-US" w:eastAsia="zh-CN" w:bidi="ar-SA"/>
        </w:rPr>
        <w:t>开源</w:t>
      </w:r>
      <w:r>
        <w:rPr>
          <w:rFonts w:hint="eastAsia" w:ascii="Times New Roman" w:hAnsi="Times New Roman" w:eastAsia="宋体" w:cs="Times New Roman"/>
          <w:kern w:val="2"/>
          <w:sz w:val="21"/>
          <w:lang w:val="en-US" w:eastAsia="zh-CN" w:bidi="ar-SA"/>
        </w:rPr>
        <w:t>大模型</w:t>
      </w:r>
      <w:r>
        <w:rPr>
          <w:rFonts w:hint="default" w:ascii="Times New Roman" w:hAnsi="Times New Roman" w:eastAsia="宋体" w:cs="Times New Roman"/>
          <w:kern w:val="2"/>
          <w:sz w:val="21"/>
          <w:lang w:val="en-US" w:eastAsia="zh-CN" w:bidi="ar-SA"/>
        </w:rPr>
        <w:t>本身无需授权费用，但API调用</w:t>
      </w:r>
      <w:r>
        <w:rPr>
          <w:rFonts w:hint="eastAsia" w:ascii="Times New Roman" w:hAnsi="Times New Roman" w:eastAsia="宋体" w:cs="Times New Roman"/>
          <w:kern w:val="2"/>
          <w:sz w:val="21"/>
          <w:lang w:val="en-US" w:eastAsia="zh-CN" w:bidi="ar-SA"/>
        </w:rPr>
        <w:t>的方式则</w:t>
      </w:r>
      <w:r>
        <w:rPr>
          <w:rFonts w:hint="default" w:ascii="Times New Roman" w:hAnsi="Times New Roman" w:eastAsia="宋体" w:cs="Times New Roman"/>
          <w:kern w:val="2"/>
          <w:sz w:val="21"/>
          <w:lang w:val="en-US" w:eastAsia="zh-CN" w:bidi="ar-SA"/>
        </w:rPr>
        <w:t>常采用预付费</w:t>
      </w:r>
      <w:r>
        <w:rPr>
          <w:rFonts w:hint="eastAsia" w:ascii="Times New Roman" w:hAnsi="Times New Roman" w:eastAsia="宋体" w:cs="Times New Roman"/>
          <w:kern w:val="2"/>
          <w:sz w:val="21"/>
          <w:lang w:val="en-US" w:eastAsia="zh-CN" w:bidi="ar-SA"/>
        </w:rPr>
        <w:t>模式以覆盖算力平台的成本</w:t>
      </w:r>
      <w:r>
        <w:rPr>
          <w:rFonts w:hint="default" w:ascii="Times New Roman" w:hAnsi="Times New Roman" w:eastAsia="宋体" w:cs="Times New Roman"/>
          <w:kern w:val="2"/>
          <w:sz w:val="21"/>
          <w:lang w:val="en-US" w:eastAsia="zh-CN" w:bidi="ar-SA"/>
        </w:rPr>
        <w:t>，而</w:t>
      </w:r>
      <w:r>
        <w:rPr>
          <w:rFonts w:hint="eastAsia" w:ascii="Times New Roman" w:hAnsi="Times New Roman" w:eastAsia="宋体" w:cs="Times New Roman"/>
          <w:kern w:val="2"/>
          <w:sz w:val="21"/>
          <w:lang w:val="en-US" w:eastAsia="zh-CN" w:bidi="ar-SA"/>
        </w:rPr>
        <w:t>在公有算力平台上</w:t>
      </w:r>
      <w:r>
        <w:rPr>
          <w:rFonts w:hint="default" w:ascii="Times New Roman" w:hAnsi="Times New Roman" w:eastAsia="宋体" w:cs="Times New Roman"/>
          <w:kern w:val="2"/>
          <w:sz w:val="21"/>
          <w:lang w:val="en-US" w:eastAsia="zh-CN" w:bidi="ar-SA"/>
        </w:rPr>
        <w:t>定制训练</w:t>
      </w:r>
      <w:r>
        <w:rPr>
          <w:rFonts w:hint="eastAsia" w:ascii="Times New Roman" w:hAnsi="Times New Roman" w:eastAsia="宋体" w:cs="Times New Roman"/>
          <w:kern w:val="2"/>
          <w:sz w:val="21"/>
          <w:lang w:val="en-US" w:eastAsia="zh-CN" w:bidi="ar-SA"/>
        </w:rPr>
        <w:t>自有</w:t>
      </w:r>
      <w:r>
        <w:rPr>
          <w:rFonts w:hint="default" w:ascii="Times New Roman" w:hAnsi="Times New Roman" w:eastAsia="宋体" w:cs="Times New Roman"/>
          <w:kern w:val="2"/>
          <w:sz w:val="21"/>
          <w:lang w:val="en-US" w:eastAsia="zh-CN" w:bidi="ar-SA"/>
        </w:rPr>
        <w:t>专属模型则</w:t>
      </w:r>
      <w:r>
        <w:rPr>
          <w:rFonts w:hint="eastAsia" w:ascii="Times New Roman" w:hAnsi="Times New Roman" w:eastAsia="宋体" w:cs="Times New Roman"/>
          <w:kern w:val="2"/>
          <w:sz w:val="21"/>
          <w:lang w:val="en-US" w:eastAsia="zh-CN" w:bidi="ar-SA"/>
        </w:rPr>
        <w:t>一般</w:t>
      </w:r>
      <w:r>
        <w:rPr>
          <w:rFonts w:hint="default" w:ascii="Times New Roman" w:hAnsi="Times New Roman" w:eastAsia="宋体" w:cs="Times New Roman"/>
          <w:kern w:val="2"/>
          <w:sz w:val="21"/>
          <w:lang w:val="en-US" w:eastAsia="zh-CN" w:bidi="ar-SA"/>
        </w:rPr>
        <w:t>根据数据量和复杂度单独报价，</w:t>
      </w:r>
      <w:r>
        <w:rPr>
          <w:rFonts w:hint="eastAsia" w:ascii="Times New Roman" w:hAnsi="Times New Roman" w:eastAsia="宋体" w:cs="Times New Roman"/>
          <w:kern w:val="2"/>
          <w:sz w:val="21"/>
          <w:lang w:val="en-US" w:eastAsia="zh-CN" w:bidi="ar-SA"/>
        </w:rPr>
        <w:t>目前成本仍比</w:t>
      </w:r>
      <w:r>
        <w:rPr>
          <w:rFonts w:hint="default" w:ascii="Times New Roman" w:hAnsi="Times New Roman" w:eastAsia="宋体" w:cs="Times New Roman"/>
          <w:kern w:val="2"/>
          <w:sz w:val="21"/>
          <w:lang w:val="en-US" w:eastAsia="zh-CN" w:bidi="ar-SA"/>
        </w:rPr>
        <w:t>较高。</w:t>
      </w:r>
    </w:p>
    <w:p w14:paraId="509C7E0F">
      <w:pPr>
        <w:pStyle w:val="24"/>
        <w:numPr>
          <w:ilvl w:val="0"/>
          <w:numId w:val="0"/>
        </w:numPr>
        <w:bidi w:val="0"/>
        <w:ind w:leftChars="0"/>
        <w:rPr>
          <w:rFonts w:hint="default" w:eastAsia="楷体_GB2312"/>
          <w:lang w:val="en-US" w:eastAsia="zh-CN"/>
        </w:rPr>
      </w:pPr>
      <w:r>
        <w:rPr>
          <w:rFonts w:hint="eastAsia"/>
          <w:lang w:val="en-US" w:eastAsia="zh-CN"/>
        </w:rPr>
        <w:t>1.4</w:t>
      </w:r>
      <w:r>
        <w:rPr>
          <w:lang w:val="en-US" w:eastAsia="zh-CN"/>
        </w:rPr>
        <w:t xml:space="preserve">  </w:t>
      </w:r>
      <w:r>
        <w:rPr>
          <w:rFonts w:hint="eastAsia" w:eastAsia="楷体_GB2312"/>
          <w:lang w:val="en-US" w:eastAsia="zh-CN"/>
        </w:rPr>
        <w:t>使用AIGC文生文工具的主要技巧</w:t>
      </w:r>
    </w:p>
    <w:p w14:paraId="6A8899D6">
      <w:pPr>
        <w:widowControl w:val="0"/>
        <w:adjustRightInd/>
        <w:spacing w:line="332" w:lineRule="atLeast"/>
        <w:ind w:firstLine="420"/>
        <w:jc w:val="both"/>
        <w:textAlignment w:val="auto"/>
        <w:rPr>
          <w:rFonts w:hint="default" w:ascii="宋体" w:hAnsi="宋体" w:eastAsia="宋体" w:cs="宋体"/>
          <w:b w:val="0"/>
          <w:bCs/>
          <w:lang w:val="en-US" w:eastAsia="zh-CN"/>
        </w:rPr>
      </w:pPr>
      <w:r>
        <w:rPr>
          <w:rFonts w:hint="eastAsia" w:ascii="Times New Roman" w:hAnsi="Times New Roman" w:eastAsia="宋体" w:cs="Times New Roman"/>
          <w:kern w:val="2"/>
          <w:sz w:val="21"/>
          <w:lang w:val="en-US" w:eastAsia="zh-CN" w:bidi="ar-SA"/>
        </w:rPr>
        <w:t>事实上，使用AI不仅仅是在对话框中进行简单提问，有许多技巧与方法，耐心学习本章节，有助你驱动AI表现得更尽如人意。</w:t>
      </w:r>
    </w:p>
    <w:p w14:paraId="136BBCB6">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1.4.1  </w:t>
      </w:r>
      <w:r>
        <w:rPr>
          <w:rFonts w:hint="eastAsia" w:ascii="Arial" w:hAnsi="Arial"/>
          <w:lang w:val="en-US" w:eastAsia="zh-CN"/>
        </w:rPr>
        <w:t>提示词工程：内容维度，人类问得巧，AI答得妙</w:t>
      </w:r>
    </w:p>
    <w:p w14:paraId="0FFE3B5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与AI交互的场景中，提示词（Prompt）是连接人类意图与AI输出的核心桥梁，提示词的质量直接影响AI生成内容的准确性、相关性和实用性。目前的AI模型，在本质上是基于数据模式预测的算法，无法直接理解人类的抽象意图，提示词需将模糊需求转化为模型可解析的结构化指令。</w:t>
      </w:r>
    </w:p>
    <w:p w14:paraId="389E812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如果说一个提示词是“代码”，那么提示词工程就是“软件工程”，它不是一次性的指令，而是一个系统化地设计、测试、迭代和优化提示词的完整过程。</w:t>
      </w:r>
    </w:p>
    <w:p w14:paraId="1F1EAAA1">
      <w:pPr>
        <w:widowControl w:val="0"/>
        <w:adjustRightInd/>
        <w:spacing w:line="332" w:lineRule="atLeast"/>
        <w:ind w:firstLine="420"/>
        <w:jc w:val="both"/>
        <w:textAlignment w:val="auto"/>
        <w:rPr>
          <w:rFonts w:hint="eastAsia"/>
        </w:rPr>
      </w:pPr>
      <w:r>
        <w:rPr>
          <w:rFonts w:hint="eastAsia" w:ascii="Times New Roman" w:hAnsi="Times New Roman" w:eastAsia="宋体" w:cs="Times New Roman"/>
          <w:kern w:val="2"/>
          <w:sz w:val="21"/>
          <w:lang w:val="en-US" w:eastAsia="zh-CN" w:bidi="ar-SA"/>
        </w:rPr>
        <w:t>提示词工程是一门设计和优化输入给大型语言模型等人工智能系统的文本指令的技术和艺术。其核心目标是通过精心构造的输入，引导AI模型生成更准确、相关、有用且符合预期的输出，从而提升生成内容的准确性如避免“AI幻觉”导致的错误信息），亦可增强输出的可控性如指定风格、格式、长度等参数，可以释放模型的潜在能力如通过提示词激活模型未被默认启用的推理或创意功能。</w:t>
      </w:r>
    </w:p>
    <w:p w14:paraId="52909EB3">
      <w:pPr>
        <w:widowControl w:val="0"/>
        <w:adjustRightInd w:val="0"/>
        <w:spacing w:before="152" w:beforeLines="50" w:line="332" w:lineRule="atLeast"/>
        <w:ind w:firstLine="0"/>
        <w:jc w:val="center"/>
        <w:textAlignment w:val="baseline"/>
        <w:rPr>
          <w:rFonts w:hint="eastAsia"/>
          <w:lang w:val="en-US" w:eastAsia="zh-CN"/>
        </w:rPr>
      </w:pPr>
      <w:r>
        <w:rPr>
          <w:rFonts w:hint="eastAsia" w:ascii="Arial" w:hAnsi="Arial" w:eastAsia="黑体" w:cs="Arial"/>
          <w:sz w:val="18"/>
          <w:lang w:val="en-US" w:eastAsia="zh-CN" w:bidi="ar-SA"/>
        </w:rPr>
        <w:t>表1-3  提示词三维度分层构建模型</w:t>
      </w: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204"/>
        <w:gridCol w:w="4603"/>
        <w:gridCol w:w="4393"/>
      </w:tblGrid>
      <w:tr w14:paraId="002220F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207" w:hRule="atLeast"/>
          <w:tblHeader/>
        </w:trPr>
        <w:tc>
          <w:tcPr>
            <w:tcW w:w="1204" w:type="dxa"/>
            <w:tcBorders>
              <w:left w:val="nil"/>
            </w:tcBorders>
            <w:shd w:val="clear" w:color="auto" w:fill="auto"/>
            <w:tcMar>
              <w:top w:w="180" w:type="dxa"/>
              <w:left w:w="270" w:type="dxa"/>
              <w:bottom w:w="180" w:type="dxa"/>
              <w:right w:w="270" w:type="dxa"/>
            </w:tcMar>
            <w:vAlign w:val="center"/>
          </w:tcPr>
          <w:p w14:paraId="3C35187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维度</w:t>
            </w:r>
          </w:p>
        </w:tc>
        <w:tc>
          <w:tcPr>
            <w:tcW w:w="4603" w:type="dxa"/>
            <w:shd w:val="clear" w:color="auto" w:fill="auto"/>
            <w:tcMar>
              <w:top w:w="180" w:type="dxa"/>
              <w:left w:w="270" w:type="dxa"/>
              <w:bottom w:w="180" w:type="dxa"/>
              <w:right w:w="270" w:type="dxa"/>
            </w:tcMar>
            <w:vAlign w:val="center"/>
          </w:tcPr>
          <w:p w14:paraId="300425F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核心要素</w:t>
            </w:r>
          </w:p>
        </w:tc>
        <w:tc>
          <w:tcPr>
            <w:tcW w:w="0" w:type="auto"/>
            <w:tcBorders>
              <w:right w:val="nil"/>
            </w:tcBorders>
            <w:shd w:val="clear" w:color="auto" w:fill="auto"/>
            <w:tcMar>
              <w:top w:w="180" w:type="dxa"/>
              <w:left w:w="270" w:type="dxa"/>
              <w:bottom w:w="180" w:type="dxa"/>
              <w:right w:w="270" w:type="dxa"/>
            </w:tcMar>
            <w:vAlign w:val="center"/>
          </w:tcPr>
          <w:p w14:paraId="72CD1F2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进阶技巧</w:t>
            </w:r>
          </w:p>
        </w:tc>
      </w:tr>
      <w:tr w14:paraId="61D306F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90" w:hRule="atLeast"/>
        </w:trPr>
        <w:tc>
          <w:tcPr>
            <w:tcW w:w="1204" w:type="dxa"/>
            <w:tcBorders>
              <w:left w:val="nil"/>
            </w:tcBorders>
            <w:shd w:val="clear" w:color="auto" w:fill="auto"/>
            <w:tcMar>
              <w:top w:w="180" w:type="dxa"/>
              <w:left w:w="270" w:type="dxa"/>
              <w:bottom w:w="180" w:type="dxa"/>
              <w:right w:w="270" w:type="dxa"/>
            </w:tcMar>
            <w:vAlign w:val="center"/>
          </w:tcPr>
          <w:p w14:paraId="7F59219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意图层</w:t>
            </w:r>
          </w:p>
        </w:tc>
        <w:tc>
          <w:tcPr>
            <w:tcW w:w="4603" w:type="dxa"/>
            <w:shd w:val="clear" w:color="auto" w:fill="auto"/>
            <w:tcMar>
              <w:top w:w="180" w:type="dxa"/>
              <w:left w:w="270" w:type="dxa"/>
              <w:bottom w:w="180" w:type="dxa"/>
              <w:right w:w="270" w:type="dxa"/>
            </w:tcMar>
            <w:vAlign w:val="center"/>
          </w:tcPr>
          <w:p w14:paraId="1D54DBE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明确任务目标（如“撰写”“分析”“创作”）、受众定位（如“技术人员”“普通消费者”）</w:t>
            </w:r>
          </w:p>
        </w:tc>
        <w:tc>
          <w:tcPr>
            <w:tcW w:w="0" w:type="auto"/>
            <w:tcBorders>
              <w:right w:val="nil"/>
            </w:tcBorders>
            <w:shd w:val="clear" w:color="auto" w:fill="auto"/>
            <w:tcMar>
              <w:top w:w="180" w:type="dxa"/>
              <w:left w:w="270" w:type="dxa"/>
              <w:bottom w:w="180" w:type="dxa"/>
              <w:right w:w="270" w:type="dxa"/>
            </w:tcMar>
            <w:vAlign w:val="center"/>
          </w:tcPr>
          <w:p w14:paraId="56F546D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引入“场景图谱”提示：用思维导图式指令定义上下文（如“电商促销→夏季→年轻人→性价比”）</w:t>
            </w:r>
          </w:p>
        </w:tc>
      </w:tr>
      <w:tr w14:paraId="5263A83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537" w:hRule="atLeast"/>
        </w:trPr>
        <w:tc>
          <w:tcPr>
            <w:tcW w:w="1204" w:type="dxa"/>
            <w:tcBorders>
              <w:left w:val="nil"/>
            </w:tcBorders>
            <w:shd w:val="clear" w:color="auto" w:fill="auto"/>
            <w:tcMar>
              <w:top w:w="180" w:type="dxa"/>
              <w:left w:w="270" w:type="dxa"/>
              <w:bottom w:w="180" w:type="dxa"/>
              <w:right w:w="270" w:type="dxa"/>
            </w:tcMar>
            <w:vAlign w:val="center"/>
          </w:tcPr>
          <w:p w14:paraId="7283156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约束层</w:t>
            </w:r>
          </w:p>
        </w:tc>
        <w:tc>
          <w:tcPr>
            <w:tcW w:w="4603" w:type="dxa"/>
            <w:shd w:val="clear" w:color="auto" w:fill="auto"/>
            <w:tcMar>
              <w:top w:w="180" w:type="dxa"/>
              <w:left w:w="270" w:type="dxa"/>
              <w:bottom w:w="180" w:type="dxa"/>
              <w:right w:w="270" w:type="dxa"/>
            </w:tcMar>
            <w:vAlign w:val="center"/>
          </w:tcPr>
          <w:p w14:paraId="794CAE9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限制条件（字数、格式、禁用词）、质量标准（如“准确率≥90%”“原创度＞85%”）</w:t>
            </w:r>
          </w:p>
        </w:tc>
        <w:tc>
          <w:tcPr>
            <w:tcW w:w="0" w:type="auto"/>
            <w:tcBorders>
              <w:right w:val="nil"/>
            </w:tcBorders>
            <w:shd w:val="clear" w:color="auto" w:fill="auto"/>
            <w:tcMar>
              <w:top w:w="180" w:type="dxa"/>
              <w:left w:w="270" w:type="dxa"/>
              <w:bottom w:w="180" w:type="dxa"/>
              <w:right w:w="270" w:type="dxa"/>
            </w:tcMar>
            <w:vAlign w:val="center"/>
          </w:tcPr>
          <w:p w14:paraId="6D3C723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动态参数绑定：用“变量”实现批量生成（如“生成｛产品名称｝在｛促销节点｝的｛数量｝条文案”）</w:t>
            </w:r>
          </w:p>
        </w:tc>
      </w:tr>
      <w:tr w14:paraId="4D72EE2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1204" w:type="dxa"/>
            <w:tcBorders>
              <w:left w:val="nil"/>
            </w:tcBorders>
            <w:shd w:val="clear" w:color="auto" w:fill="auto"/>
            <w:tcMar>
              <w:top w:w="180" w:type="dxa"/>
              <w:left w:w="270" w:type="dxa"/>
              <w:bottom w:w="180" w:type="dxa"/>
              <w:right w:w="270" w:type="dxa"/>
            </w:tcMar>
            <w:vAlign w:val="center"/>
          </w:tcPr>
          <w:p w14:paraId="418B5CA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引导层</w:t>
            </w:r>
          </w:p>
        </w:tc>
        <w:tc>
          <w:tcPr>
            <w:tcW w:w="4603" w:type="dxa"/>
            <w:shd w:val="clear" w:color="auto" w:fill="auto"/>
            <w:tcMar>
              <w:top w:w="180" w:type="dxa"/>
              <w:left w:w="270" w:type="dxa"/>
              <w:bottom w:w="180" w:type="dxa"/>
              <w:right w:w="270" w:type="dxa"/>
            </w:tcMar>
            <w:vAlign w:val="center"/>
          </w:tcPr>
          <w:p w14:paraId="1857E5A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提供示例参考、思维链、角色设定</w:t>
            </w:r>
          </w:p>
        </w:tc>
        <w:tc>
          <w:tcPr>
            <w:tcW w:w="0" w:type="auto"/>
            <w:tcBorders>
              <w:right w:val="nil"/>
            </w:tcBorders>
            <w:shd w:val="clear" w:color="auto" w:fill="auto"/>
            <w:tcMar>
              <w:top w:w="180" w:type="dxa"/>
              <w:left w:w="270" w:type="dxa"/>
              <w:bottom w:w="180" w:type="dxa"/>
              <w:right w:w="270" w:type="dxa"/>
            </w:tcMar>
            <w:vAlign w:val="center"/>
          </w:tcPr>
          <w:p w14:paraId="5CF7BB4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示例嵌入：在文本提示中插入示例、AI角色设定作为参考</w:t>
            </w:r>
          </w:p>
        </w:tc>
      </w:tr>
    </w:tbl>
    <w:p w14:paraId="13F2A6BC">
      <w:pPr>
        <w:widowControl w:val="0"/>
        <w:adjustRightInd w:val="0"/>
        <w:spacing w:before="152" w:beforeLines="50" w:line="332" w:lineRule="atLeast"/>
        <w:ind w:left="0" w:leftChars="0" w:firstLine="0" w:firstLineChars="0"/>
        <w:jc w:val="center"/>
        <w:textAlignment w:val="baseline"/>
        <w:rPr>
          <w:rFonts w:hint="eastAsia" w:ascii="Arial" w:hAnsi="Arial" w:eastAsia="黑体" w:cs="Arial"/>
          <w:sz w:val="18"/>
          <w:lang w:val="en-US" w:eastAsia="zh-CN" w:bidi="ar-SA"/>
        </w:rPr>
      </w:pPr>
      <w:r>
        <w:rPr>
          <w:rFonts w:hint="eastAsia" w:ascii="Arial" w:hAnsi="Arial" w:eastAsia="黑体" w:cs="Arial"/>
          <w:sz w:val="18"/>
          <w:lang w:val="en-US" w:eastAsia="zh-CN" w:bidi="ar-SA"/>
        </w:rPr>
        <w:t>表1-4  提示词建议</w:t>
      </w:r>
    </w:p>
    <w:tbl>
      <w:tblPr>
        <w:tblStyle w:val="13"/>
        <w:tblpPr w:leftFromText="180" w:rightFromText="180" w:vertAnchor="text" w:horzAnchor="page" w:tblpXSpec="center" w:tblpY="135"/>
        <w:tblOverlap w:val="never"/>
        <w:tblW w:w="7979"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780"/>
        <w:gridCol w:w="5199"/>
      </w:tblGrid>
      <w:tr w14:paraId="08D3C30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tblHeader/>
          <w:jc w:val="center"/>
        </w:trPr>
        <w:tc>
          <w:tcPr>
            <w:tcW w:w="2780" w:type="dxa"/>
            <w:tcBorders>
              <w:left w:val="nil"/>
            </w:tcBorders>
            <w:shd w:val="clear" w:color="auto" w:fill="auto"/>
            <w:tcMar>
              <w:top w:w="90" w:type="dxa"/>
              <w:left w:w="135" w:type="dxa"/>
              <w:bottom w:w="90" w:type="dxa"/>
              <w:right w:w="135" w:type="dxa"/>
            </w:tcMar>
            <w:vAlign w:val="center"/>
          </w:tcPr>
          <w:p w14:paraId="0AED855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default" w:ascii="黑体" w:hAnsi="黑体" w:eastAsia="黑体" w:cs="黑体"/>
                <w:sz w:val="18"/>
                <w:szCs w:val="18"/>
                <w:lang w:val="en-US" w:eastAsia="zh-CN" w:bidi="ar-SA"/>
              </w:rPr>
            </w:pPr>
            <w:r>
              <w:rPr>
                <w:rFonts w:hint="eastAsia" w:ascii="黑体" w:hAnsi="黑体" w:eastAsia="黑体" w:cs="黑体"/>
                <w:sz w:val="18"/>
                <w:szCs w:val="18"/>
                <w:lang w:val="en-US" w:eastAsia="zh-CN" w:bidi="ar-SA"/>
              </w:rPr>
              <w:t>提示词建议</w:t>
            </w:r>
          </w:p>
        </w:tc>
        <w:tc>
          <w:tcPr>
            <w:tcW w:w="5199" w:type="dxa"/>
            <w:tcBorders>
              <w:right w:val="nil"/>
            </w:tcBorders>
            <w:shd w:val="clear" w:color="auto" w:fill="auto"/>
            <w:tcMar>
              <w:top w:w="90" w:type="dxa"/>
              <w:left w:w="135" w:type="dxa"/>
              <w:bottom w:w="90" w:type="dxa"/>
              <w:right w:w="135" w:type="dxa"/>
            </w:tcMar>
            <w:vAlign w:val="center"/>
          </w:tcPr>
          <w:p w14:paraId="3BA389F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lang w:val="en-US" w:eastAsia="zh-CN" w:bidi="ar-SA"/>
              </w:rPr>
              <w:t>操作建议</w:t>
            </w:r>
          </w:p>
        </w:tc>
      </w:tr>
      <w:tr w14:paraId="601C879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3067031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写出清晰的指令</w:t>
            </w:r>
          </w:p>
        </w:tc>
        <w:tc>
          <w:tcPr>
            <w:tcW w:w="5199" w:type="dxa"/>
            <w:tcBorders>
              <w:right w:val="nil"/>
            </w:tcBorders>
            <w:shd w:val="clear" w:color="auto" w:fill="auto"/>
            <w:tcMar>
              <w:top w:w="90" w:type="dxa"/>
              <w:left w:w="135" w:type="dxa"/>
              <w:bottom w:w="90" w:type="dxa"/>
              <w:right w:w="135" w:type="dxa"/>
            </w:tcMar>
            <w:vAlign w:val="center"/>
          </w:tcPr>
          <w:p w14:paraId="5B9A725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在提示语中包含详细信息以获得更相关的答案</w:t>
            </w:r>
          </w:p>
          <w:p w14:paraId="0FB68D8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让模型充当某个角色、岗位，用符号区分指令细节</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完成任务所需的步骤并提供例子、期望AI回复的字数限制</w:t>
            </w:r>
          </w:p>
        </w:tc>
      </w:tr>
      <w:tr w14:paraId="331204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1D99A236">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提供参考文本</w:t>
            </w:r>
          </w:p>
        </w:tc>
        <w:tc>
          <w:tcPr>
            <w:tcW w:w="5199" w:type="dxa"/>
            <w:tcBorders>
              <w:right w:val="nil"/>
            </w:tcBorders>
            <w:shd w:val="clear" w:color="auto" w:fill="auto"/>
            <w:tcMar>
              <w:top w:w="90" w:type="dxa"/>
              <w:left w:w="135" w:type="dxa"/>
              <w:bottom w:w="90" w:type="dxa"/>
              <w:right w:w="135" w:type="dxa"/>
            </w:tcMar>
            <w:vAlign w:val="center"/>
          </w:tcPr>
          <w:p w14:paraId="670AC18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让大模型使用参考文本来回答</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让大模型使用参考文本中的引用文献来回答</w:t>
            </w:r>
          </w:p>
        </w:tc>
      </w:tr>
      <w:tr w14:paraId="52AF126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2D15B02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分解成简单的子任务</w:t>
            </w:r>
          </w:p>
        </w:tc>
        <w:tc>
          <w:tcPr>
            <w:tcW w:w="5199" w:type="dxa"/>
            <w:tcBorders>
              <w:right w:val="nil"/>
            </w:tcBorders>
            <w:shd w:val="clear" w:color="auto" w:fill="auto"/>
            <w:tcMar>
              <w:top w:w="90" w:type="dxa"/>
              <w:left w:w="135" w:type="dxa"/>
              <w:bottom w:w="90" w:type="dxa"/>
              <w:right w:w="135" w:type="dxa"/>
            </w:tcMar>
            <w:vAlign w:val="center"/>
          </w:tcPr>
          <w:p w14:paraId="53D43A2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参考思维链CoT，由人类或AI先将复杂问题或任务拆分</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需要较长或多轮执行的任务，可对过往对话先总结</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逐段对长文档进行总结并递归构建完整摘要</w:t>
            </w:r>
          </w:p>
        </w:tc>
      </w:tr>
      <w:tr w14:paraId="5E32AB6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4487AE3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给模型思考和规划的时间</w:t>
            </w:r>
          </w:p>
        </w:tc>
        <w:tc>
          <w:tcPr>
            <w:tcW w:w="5199" w:type="dxa"/>
            <w:tcBorders>
              <w:right w:val="nil"/>
            </w:tcBorders>
            <w:shd w:val="clear" w:color="auto" w:fill="auto"/>
            <w:tcMar>
              <w:top w:w="90" w:type="dxa"/>
              <w:left w:w="135" w:type="dxa"/>
              <w:bottom w:w="90" w:type="dxa"/>
              <w:right w:w="135" w:type="dxa"/>
            </w:tcMar>
            <w:vAlign w:val="center"/>
          </w:tcPr>
          <w:p w14:paraId="77D5B56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让模型在得出结论之前整理出思路或解决方案</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反复启发式询问模型是否在之前的尝试中遗漏了什么</w:t>
            </w:r>
          </w:p>
        </w:tc>
      </w:tr>
      <w:tr w14:paraId="3D5B7AB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1277067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使用外部工具</w:t>
            </w:r>
          </w:p>
        </w:tc>
        <w:tc>
          <w:tcPr>
            <w:tcW w:w="5199" w:type="dxa"/>
            <w:tcBorders>
              <w:right w:val="nil"/>
            </w:tcBorders>
            <w:shd w:val="clear" w:color="auto" w:fill="auto"/>
            <w:tcMar>
              <w:top w:w="90" w:type="dxa"/>
              <w:left w:w="135" w:type="dxa"/>
              <w:bottom w:w="90" w:type="dxa"/>
              <w:right w:w="135" w:type="dxa"/>
            </w:tcMar>
            <w:vAlign w:val="center"/>
          </w:tcPr>
          <w:p w14:paraId="4A6F7C5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通过多AI交叉验证来优化</w:t>
            </w:r>
            <w:r>
              <w:rPr>
                <w:rFonts w:hint="eastAsia" w:ascii="宋体" w:hAnsi="宋体" w:eastAsia="宋体" w:cs="宋体"/>
                <w:sz w:val="18"/>
                <w:szCs w:val="18"/>
                <w:lang w:val="en-US" w:eastAsia="zh-CN" w:bidi="ar-SA"/>
              </w:rPr>
              <w:br w:type="textWrapping"/>
            </w:r>
            <w:r>
              <w:rPr>
                <w:rFonts w:hint="eastAsia" w:ascii="宋体" w:hAnsi="宋体" w:eastAsia="宋体" w:cs="宋体"/>
                <w:sz w:val="18"/>
                <w:szCs w:val="18"/>
                <w:lang w:val="en-US" w:eastAsia="zh-CN" w:bidi="ar-SA"/>
              </w:rPr>
              <w:t>通过其他专业数据库或文献来校验优化，可编程调用API</w:t>
            </w:r>
          </w:p>
        </w:tc>
      </w:tr>
      <w:tr w14:paraId="6FF046D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2780" w:type="dxa"/>
            <w:tcBorders>
              <w:left w:val="nil"/>
            </w:tcBorders>
            <w:shd w:val="clear" w:color="auto" w:fill="auto"/>
            <w:tcMar>
              <w:top w:w="90" w:type="dxa"/>
              <w:left w:w="135" w:type="dxa"/>
              <w:bottom w:w="90" w:type="dxa"/>
              <w:right w:w="135" w:type="dxa"/>
            </w:tcMar>
            <w:vAlign w:val="center"/>
          </w:tcPr>
          <w:p w14:paraId="22A4106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系统测试变更</w:t>
            </w:r>
          </w:p>
        </w:tc>
        <w:tc>
          <w:tcPr>
            <w:tcW w:w="5199" w:type="dxa"/>
            <w:tcBorders>
              <w:right w:val="nil"/>
            </w:tcBorders>
            <w:shd w:val="clear" w:color="auto" w:fill="auto"/>
            <w:tcMar>
              <w:top w:w="90" w:type="dxa"/>
              <w:left w:w="135" w:type="dxa"/>
              <w:bottom w:w="90" w:type="dxa"/>
              <w:right w:w="135" w:type="dxa"/>
            </w:tcMar>
            <w:vAlign w:val="center"/>
          </w:tcPr>
          <w:p w14:paraId="3473B99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both"/>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参考标准答案评估模型输出</w:t>
            </w:r>
          </w:p>
        </w:tc>
      </w:tr>
    </w:tbl>
    <w:p w14:paraId="1E2BC9E5">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5A8ABDF2">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726D415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360F81F2">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78D13BFA">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2F047ADE">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0EB7CEB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126B9305">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54F1EC8A">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35C5C067">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512DD2E8">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3AE9B0A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4BC7183E">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691B27C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37BBA53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p w14:paraId="57863ED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分享一些提示词框架及示范来帮你优化提示词架构，让AI回馈更优。</w:t>
      </w:r>
    </w:p>
    <w:p w14:paraId="3D2D87CE">
      <w:pPr>
        <w:widowControl w:val="0"/>
        <w:adjustRightInd w:val="0"/>
        <w:spacing w:before="152" w:beforeLines="50" w:line="332" w:lineRule="atLeast"/>
        <w:ind w:left="0" w:leftChars="0" w:firstLine="0" w:firstLineChars="0"/>
        <w:jc w:val="center"/>
        <w:textAlignment w:val="baseline"/>
        <w:rPr>
          <w:rFonts w:hint="eastAsia" w:ascii="Times New Roman" w:hAnsi="Times New Roman" w:eastAsia="宋体" w:cs="Times New Roman"/>
          <w:kern w:val="2"/>
          <w:sz w:val="21"/>
          <w:lang w:val="en-US" w:eastAsia="zh-CN" w:bidi="ar-SA"/>
        </w:rPr>
      </w:pPr>
      <w:r>
        <w:rPr>
          <w:rFonts w:hint="eastAsia" w:ascii="Arial" w:hAnsi="Arial" w:eastAsia="黑体" w:cs="Arial"/>
          <w:sz w:val="18"/>
          <w:lang w:val="en-US" w:eastAsia="zh-CN" w:bidi="ar-SA"/>
        </w:rPr>
        <w:t>表1-5  部分常见提示词框架</w:t>
      </w:r>
    </w:p>
    <w:tbl>
      <w:tblPr>
        <w:tblStyle w:val="13"/>
        <w:tblpPr w:leftFromText="180" w:rightFromText="180" w:vertAnchor="text" w:horzAnchor="page" w:tblpX="1128" w:tblpY="324"/>
        <w:tblOverlap w:val="never"/>
        <w:tblW w:w="1019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098"/>
        <w:gridCol w:w="4984"/>
        <w:gridCol w:w="4117"/>
      </w:tblGrid>
      <w:tr w14:paraId="6D48F34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3" w:hRule="atLeast"/>
          <w:tblHeader/>
        </w:trPr>
        <w:tc>
          <w:tcPr>
            <w:tcW w:w="1098" w:type="dxa"/>
            <w:tcBorders>
              <w:left w:val="nil"/>
            </w:tcBorders>
            <w:shd w:val="clear" w:color="auto" w:fill="auto"/>
            <w:tcMar>
              <w:top w:w="180" w:type="dxa"/>
              <w:left w:w="270" w:type="dxa"/>
              <w:bottom w:w="180" w:type="dxa"/>
              <w:right w:w="270" w:type="dxa"/>
            </w:tcMar>
            <w:vAlign w:val="center"/>
          </w:tcPr>
          <w:p w14:paraId="2ED52D21">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框架名</w:t>
            </w:r>
          </w:p>
        </w:tc>
        <w:tc>
          <w:tcPr>
            <w:tcW w:w="4984" w:type="dxa"/>
            <w:shd w:val="clear" w:color="auto" w:fill="auto"/>
            <w:tcMar>
              <w:top w:w="180" w:type="dxa"/>
              <w:left w:w="270" w:type="dxa"/>
              <w:bottom w:w="180" w:type="dxa"/>
              <w:right w:w="270" w:type="dxa"/>
            </w:tcMar>
            <w:vAlign w:val="center"/>
          </w:tcPr>
          <w:p w14:paraId="12F48C54">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核心要素</w:t>
            </w:r>
          </w:p>
        </w:tc>
        <w:tc>
          <w:tcPr>
            <w:tcW w:w="4117" w:type="dxa"/>
            <w:shd w:val="clear" w:color="auto" w:fill="auto"/>
            <w:tcMar>
              <w:top w:w="180" w:type="dxa"/>
              <w:left w:w="270" w:type="dxa"/>
              <w:bottom w:w="180" w:type="dxa"/>
              <w:right w:w="270" w:type="dxa"/>
            </w:tcMar>
            <w:vAlign w:val="center"/>
          </w:tcPr>
          <w:p w14:paraId="6190B517">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提示词示例模板</w:t>
            </w:r>
          </w:p>
        </w:tc>
      </w:tr>
      <w:tr w14:paraId="21AC3AB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23" w:hRule="atLeast"/>
        </w:trPr>
        <w:tc>
          <w:tcPr>
            <w:tcW w:w="1098" w:type="dxa"/>
            <w:tcBorders>
              <w:left w:val="nil"/>
            </w:tcBorders>
            <w:shd w:val="clear" w:color="auto" w:fill="auto"/>
            <w:tcMar>
              <w:top w:w="180" w:type="dxa"/>
              <w:left w:w="270" w:type="dxa"/>
              <w:bottom w:w="180" w:type="dxa"/>
              <w:right w:w="270" w:type="dxa"/>
            </w:tcMar>
            <w:vAlign w:val="center"/>
          </w:tcPr>
          <w:p w14:paraId="58B876DE">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ICIO</w:t>
            </w:r>
          </w:p>
        </w:tc>
        <w:tc>
          <w:tcPr>
            <w:tcW w:w="4984" w:type="dxa"/>
            <w:shd w:val="clear" w:color="auto" w:fill="auto"/>
            <w:tcMar>
              <w:top w:w="180" w:type="dxa"/>
              <w:left w:w="270" w:type="dxa"/>
              <w:bottom w:w="180" w:type="dxa"/>
              <w:right w:w="270" w:type="dxa"/>
            </w:tcMar>
            <w:vAlign w:val="center"/>
          </w:tcPr>
          <w:p w14:paraId="102AE4BF">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Instruction指令：即你希望AI执行的具体任务</w:t>
            </w:r>
          </w:p>
          <w:p w14:paraId="2197EE1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Context上下文：给AI更多背景信息引导贴合回复</w:t>
            </w:r>
          </w:p>
          <w:p w14:paraId="62F32BF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Input Data输入数据：告知模型需要处理的数据</w:t>
            </w:r>
          </w:p>
          <w:p w14:paraId="19632338">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Output Indicator输出引导：AI输出的类型或风格</w:t>
            </w:r>
          </w:p>
        </w:tc>
        <w:tc>
          <w:tcPr>
            <w:tcW w:w="4117" w:type="dxa"/>
            <w:shd w:val="clear" w:color="auto" w:fill="auto"/>
            <w:tcMar>
              <w:top w:w="180" w:type="dxa"/>
              <w:left w:w="270" w:type="dxa"/>
              <w:bottom w:w="180" w:type="dxa"/>
              <w:right w:w="270" w:type="dxa"/>
            </w:tcMar>
            <w:vAlign w:val="center"/>
          </w:tcPr>
          <w:p w14:paraId="05B899AF">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Instruction: 分析特斯拉2023年财报的核心</w:t>
            </w:r>
          </w:p>
          <w:p w14:paraId="1BA7A49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Context: 用波特五力模型框架向投资者汇报</w:t>
            </w:r>
          </w:p>
          <w:p w14:paraId="1B668E8F">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Input: [附财报链接/数据摘要]</w:t>
            </w:r>
          </w:p>
          <w:p w14:paraId="28759C1E">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Output: 分3点列出主要风险及应对建议</w:t>
            </w:r>
          </w:p>
        </w:tc>
      </w:tr>
      <w:tr w14:paraId="349B5EB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90" w:hRule="atLeast"/>
        </w:trPr>
        <w:tc>
          <w:tcPr>
            <w:tcW w:w="1098" w:type="dxa"/>
            <w:tcBorders>
              <w:left w:val="nil"/>
            </w:tcBorders>
            <w:shd w:val="clear" w:color="auto" w:fill="auto"/>
            <w:tcMar>
              <w:top w:w="180" w:type="dxa"/>
              <w:left w:w="270" w:type="dxa"/>
              <w:bottom w:w="180" w:type="dxa"/>
              <w:right w:w="270" w:type="dxa"/>
            </w:tcMar>
            <w:vAlign w:val="center"/>
          </w:tcPr>
          <w:p w14:paraId="6F121DAF">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APE</w:t>
            </w:r>
          </w:p>
        </w:tc>
        <w:tc>
          <w:tcPr>
            <w:tcW w:w="4984" w:type="dxa"/>
            <w:shd w:val="clear" w:color="auto" w:fill="auto"/>
            <w:tcMar>
              <w:top w:w="180" w:type="dxa"/>
              <w:left w:w="270" w:type="dxa"/>
              <w:bottom w:w="180" w:type="dxa"/>
              <w:right w:w="270" w:type="dxa"/>
            </w:tcMar>
            <w:vAlign w:val="center"/>
          </w:tcPr>
          <w:p w14:paraId="3FFF26BE">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Action行动：定义要完成的工作或活动</w:t>
            </w:r>
          </w:p>
          <w:p w14:paraId="3136574E">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Purpose目的：讨论意图或目标</w:t>
            </w:r>
          </w:p>
          <w:p w14:paraId="4A0C015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Expectation期望：陈述预期的结果</w:t>
            </w:r>
          </w:p>
        </w:tc>
        <w:tc>
          <w:tcPr>
            <w:tcW w:w="4117" w:type="dxa"/>
            <w:shd w:val="clear" w:color="auto" w:fill="auto"/>
            <w:tcMar>
              <w:top w:w="180" w:type="dxa"/>
              <w:left w:w="270" w:type="dxa"/>
              <w:bottom w:w="180" w:type="dxa"/>
              <w:right w:w="270" w:type="dxa"/>
            </w:tcMar>
            <w:vAlign w:val="center"/>
          </w:tcPr>
          <w:p w14:paraId="26FA9B53">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 新冠对全球供应链韧性的影响模型</w:t>
            </w:r>
          </w:p>
          <w:p w14:paraId="016BC47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Purpose: 制造业跨国投资决策风险预警框架</w:t>
            </w:r>
          </w:p>
          <w:p w14:paraId="5667D610">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Expectation: 3个评估维度的量化指标体系</w:t>
            </w:r>
          </w:p>
        </w:tc>
      </w:tr>
      <w:tr w14:paraId="253AA8D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1098" w:type="dxa"/>
            <w:tcBorders>
              <w:left w:val="nil"/>
            </w:tcBorders>
            <w:shd w:val="clear" w:color="auto" w:fill="auto"/>
            <w:tcMar>
              <w:top w:w="180" w:type="dxa"/>
              <w:left w:w="270" w:type="dxa"/>
              <w:bottom w:w="180" w:type="dxa"/>
              <w:right w:w="270" w:type="dxa"/>
            </w:tcMar>
            <w:vAlign w:val="center"/>
          </w:tcPr>
          <w:p w14:paraId="1413AFB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TAG</w:t>
            </w:r>
          </w:p>
        </w:tc>
        <w:tc>
          <w:tcPr>
            <w:tcW w:w="4984" w:type="dxa"/>
            <w:shd w:val="clear" w:color="auto" w:fill="auto"/>
            <w:tcMar>
              <w:top w:w="180" w:type="dxa"/>
              <w:left w:w="270" w:type="dxa"/>
              <w:bottom w:w="180" w:type="dxa"/>
              <w:right w:w="270" w:type="dxa"/>
            </w:tcMar>
            <w:vAlign w:val="center"/>
          </w:tcPr>
          <w:p w14:paraId="15255272">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Task任务：描述任务；</w:t>
            </w:r>
          </w:p>
          <w:p w14:paraId="0CDDCAB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Action行动：解释所需行动；</w:t>
            </w:r>
          </w:p>
          <w:p w14:paraId="09140015">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Goal目标：解释最终目标</w:t>
            </w:r>
          </w:p>
        </w:tc>
        <w:tc>
          <w:tcPr>
            <w:tcW w:w="4117" w:type="dxa"/>
            <w:shd w:val="clear" w:color="auto" w:fill="auto"/>
            <w:tcMar>
              <w:top w:w="180" w:type="dxa"/>
              <w:left w:w="270" w:type="dxa"/>
              <w:bottom w:w="180" w:type="dxa"/>
              <w:right w:w="270" w:type="dxa"/>
            </w:tcMar>
            <w:vAlign w:val="center"/>
          </w:tcPr>
          <w:p w14:paraId="24009AA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Task: 撰写跨境电商选品分析报告</w:t>
            </w:r>
          </w:p>
          <w:p w14:paraId="3088D383">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 1) 爬取亚马逊TOP100商品数据 2) 计算品类集中度指数 3) 识别蓝海市场</w:t>
            </w:r>
          </w:p>
          <w:p w14:paraId="6D85874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Goal: 确定东南亚市场优先进入品类</w:t>
            </w:r>
          </w:p>
        </w:tc>
      </w:tr>
      <w:tr w14:paraId="4242017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1410" w:hRule="atLeast"/>
        </w:trPr>
        <w:tc>
          <w:tcPr>
            <w:tcW w:w="1098" w:type="dxa"/>
            <w:tcBorders>
              <w:left w:val="nil"/>
            </w:tcBorders>
            <w:shd w:val="clear" w:color="auto" w:fill="auto"/>
            <w:tcMar>
              <w:top w:w="180" w:type="dxa"/>
              <w:left w:w="270" w:type="dxa"/>
              <w:bottom w:w="180" w:type="dxa"/>
              <w:right w:w="270" w:type="dxa"/>
            </w:tcMar>
            <w:vAlign w:val="center"/>
          </w:tcPr>
          <w:p w14:paraId="1CB4038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RISE</w:t>
            </w:r>
          </w:p>
        </w:tc>
        <w:tc>
          <w:tcPr>
            <w:tcW w:w="4984" w:type="dxa"/>
            <w:shd w:val="clear" w:color="auto" w:fill="auto"/>
            <w:tcMar>
              <w:top w:w="180" w:type="dxa"/>
              <w:left w:w="270" w:type="dxa"/>
              <w:bottom w:w="180" w:type="dxa"/>
              <w:right w:w="270" w:type="dxa"/>
            </w:tcMar>
            <w:vAlign w:val="center"/>
          </w:tcPr>
          <w:p w14:paraId="0C351C34">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Role角色：指定大模型的角色；</w:t>
            </w:r>
          </w:p>
          <w:p w14:paraId="6AD64BCB">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Input输入：描述信息或资源；</w:t>
            </w:r>
          </w:p>
          <w:p w14:paraId="4ECBF906">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Steps步骤：询问详细的步骤；</w:t>
            </w:r>
          </w:p>
          <w:p w14:paraId="00D3DD32">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Expectation期望：描述所需的结果</w:t>
            </w:r>
          </w:p>
        </w:tc>
        <w:tc>
          <w:tcPr>
            <w:tcW w:w="4117" w:type="dxa"/>
            <w:shd w:val="clear" w:color="auto" w:fill="auto"/>
            <w:tcMar>
              <w:top w:w="180" w:type="dxa"/>
              <w:left w:w="270" w:type="dxa"/>
              <w:bottom w:w="180" w:type="dxa"/>
              <w:right w:w="270" w:type="dxa"/>
            </w:tcMar>
            <w:vAlign w:val="center"/>
          </w:tcPr>
          <w:p w14:paraId="3BFE55AE">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Role: 麦肯锡战略顾问</w:t>
            </w:r>
          </w:p>
          <w:p w14:paraId="7AC771F7">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Input: 宁德时代近三年研发投入数据</w:t>
            </w:r>
          </w:p>
          <w:p w14:paraId="62B2EAB4">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Steps: 1) 计算专利转化率 2) 对比比亚迪研发效率 3) 评估技术护城河</w:t>
            </w:r>
          </w:p>
          <w:p w14:paraId="7983F078">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Expectation: 用BCG矩阵图示技术竞争力</w:t>
            </w:r>
          </w:p>
        </w:tc>
      </w:tr>
      <w:tr w14:paraId="37387B3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rPr>
        <w:tc>
          <w:tcPr>
            <w:tcW w:w="1098" w:type="dxa"/>
            <w:tcBorders>
              <w:left w:val="nil"/>
            </w:tcBorders>
            <w:shd w:val="clear" w:color="auto" w:fill="auto"/>
            <w:tcMar>
              <w:top w:w="180" w:type="dxa"/>
              <w:left w:w="270" w:type="dxa"/>
              <w:bottom w:w="180" w:type="dxa"/>
              <w:right w:w="270" w:type="dxa"/>
            </w:tcMar>
            <w:vAlign w:val="center"/>
          </w:tcPr>
          <w:p w14:paraId="33693CEF">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ERA</w:t>
            </w:r>
          </w:p>
        </w:tc>
        <w:tc>
          <w:tcPr>
            <w:tcW w:w="4984" w:type="dxa"/>
            <w:shd w:val="clear" w:color="auto" w:fill="auto"/>
            <w:tcMar>
              <w:top w:w="180" w:type="dxa"/>
              <w:left w:w="270" w:type="dxa"/>
              <w:bottom w:w="180" w:type="dxa"/>
              <w:right w:w="270" w:type="dxa"/>
            </w:tcMar>
            <w:vAlign w:val="center"/>
          </w:tcPr>
          <w:p w14:paraId="6D3E7117">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Expection期望：描述所需的结果</w:t>
            </w:r>
          </w:p>
          <w:p w14:paraId="72F9AB79">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Role角色：指定大模型的角色</w:t>
            </w:r>
          </w:p>
          <w:p w14:paraId="3FC6AA9A">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Action行动：指定需要采取的行动或操作</w:t>
            </w:r>
          </w:p>
        </w:tc>
        <w:tc>
          <w:tcPr>
            <w:tcW w:w="4117" w:type="dxa"/>
            <w:shd w:val="clear" w:color="auto" w:fill="auto"/>
            <w:tcMar>
              <w:top w:w="180" w:type="dxa"/>
              <w:left w:w="270" w:type="dxa"/>
              <w:bottom w:w="180" w:type="dxa"/>
              <w:right w:w="270" w:type="dxa"/>
            </w:tcMar>
            <w:vAlign w:val="center"/>
          </w:tcPr>
          <w:p w14:paraId="3CED981B">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Expection：输出成本预测模型，精度误差≤5%</w:t>
            </w:r>
          </w:p>
          <w:p w14:paraId="60E9E06C">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Role：大宗商品分析师</w:t>
            </w:r>
          </w:p>
          <w:p w14:paraId="5F7FE3F4">
            <w:pPr>
              <w:keepNext w:val="0"/>
              <w:keepLines w:val="0"/>
              <w:pageBreakBefore w:val="0"/>
              <w:widowControl w:val="0"/>
              <w:kinsoku/>
              <w:wordWrap/>
              <w:overflowPunct/>
              <w:topLinePunct w:val="0"/>
              <w:autoSpaceDE/>
              <w:autoSpaceDN/>
              <w:bidi w:val="0"/>
              <w:adjustRightInd w:val="0"/>
              <w:snapToGrid w:val="0"/>
              <w:spacing w:line="288" w:lineRule="auto"/>
              <w:ind w:firstLine="0" w:firstLineChars="0"/>
              <w:jc w:val="both"/>
              <w:textAlignment w:val="auto"/>
              <w:rPr>
                <w:rFonts w:hint="default" w:ascii="Times New Roman" w:hAnsi="Times New Roman" w:eastAsia="宋体" w:cs="Times New Roman"/>
                <w:b w:val="0"/>
                <w:bCs w:val="0"/>
                <w:i w:val="0"/>
                <w:iCs w:val="0"/>
                <w:caps w:val="0"/>
                <w:spacing w:val="0"/>
                <w:kern w:val="0"/>
                <w:sz w:val="18"/>
                <w:szCs w:val="18"/>
                <w:shd w:val="clear" w:fill="FFFFFF"/>
                <w:lang w:val="en-US" w:eastAsia="zh-CN" w:bidi="ar"/>
              </w:rPr>
            </w:pPr>
            <w:r>
              <w:rPr>
                <w:rFonts w:hint="default" w:ascii="Times New Roman" w:hAnsi="Times New Roman" w:eastAsia="宋体" w:cs="Times New Roman"/>
                <w:b w:val="0"/>
                <w:bCs w:val="0"/>
                <w:i w:val="0"/>
                <w:iCs w:val="0"/>
                <w:caps w:val="0"/>
                <w:spacing w:val="0"/>
                <w:kern w:val="0"/>
                <w:sz w:val="18"/>
                <w:szCs w:val="18"/>
                <w:shd w:val="clear" w:fill="FFFFFF"/>
                <w:lang w:val="en-US" w:eastAsia="zh-CN" w:bidi="ar"/>
              </w:rPr>
              <w:t>Action：使用波特价值链模型可视化</w:t>
            </w:r>
          </w:p>
        </w:tc>
      </w:tr>
    </w:tbl>
    <w:p w14:paraId="15D8A82D">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注：以上提示词框架在面对不同的AI大模型时也会有各式各样的差异，可以根据自己面对的任务和预期来自行组合改写提示词框架，多试用、反复尝试，才能找到与你匹配度更高的某几个AI大模型和提示词框架。更多技巧和提示词框架，我们将在本书电子版中与您持续分享。</w:t>
      </w:r>
    </w:p>
    <w:p w14:paraId="12C96FB9">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根据以上提示词构建框架建议，下面示范三个修改前后的提示词对比。</w:t>
      </w:r>
    </w:p>
    <w:p w14:paraId="5FB40FCD">
      <w:pPr>
        <w:keepNext/>
        <w:keepLines/>
        <w:widowControl w:val="0"/>
        <w:adjustRightInd w:val="0"/>
        <w:spacing w:before="120" w:after="120" w:line="240" w:lineRule="auto"/>
        <w:ind w:firstLine="420" w:firstLineChars="200"/>
        <w:jc w:val="both"/>
        <w:textAlignment w:val="baseline"/>
        <w:outlineLvl w:val="3"/>
        <w:rPr>
          <w:rFonts w:hint="default" w:ascii="宋体" w:hAnsi="宋体" w:eastAsia="宋体" w:cs="宋体"/>
          <w:b/>
          <w:bCs/>
          <w:i w:val="0"/>
          <w:iCs w:val="0"/>
          <w:caps w:val="0"/>
          <w:spacing w:val="0"/>
          <w:kern w:val="0"/>
          <w:sz w:val="21"/>
          <w:szCs w:val="21"/>
          <w:shd w:val="clear" w:fill="FFFFFF"/>
          <w:lang w:val="en-US" w:eastAsia="zh-CN" w:bidi="ar"/>
        </w:rPr>
      </w:pPr>
      <w:r>
        <w:rPr>
          <w:rFonts w:hint="eastAsia" w:ascii="Arial" w:hAnsi="Arial" w:eastAsia="黑体" w:cs="Times New Roman"/>
          <w:sz w:val="21"/>
          <w:lang w:val="en-US" w:eastAsia="zh-CN" w:bidi="ar-SA"/>
        </w:rPr>
        <w:t>1. 示范对比（1）商业分析</w:t>
      </w:r>
    </w:p>
    <w:p w14:paraId="1F068C35">
      <w:pP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模糊提示：</w:t>
      </w:r>
    </w:p>
    <w:p w14:paraId="7E1CDA9E">
      <w:pPr>
        <w:rPr>
          <w:rFonts w:hint="eastAsia" w:ascii="宋体" w:hAnsi="宋体" w:eastAsia="宋体" w:cs="宋体"/>
          <w:i w:val="0"/>
          <w:iCs w:val="0"/>
          <w:caps w:val="0"/>
          <w:spacing w:val="0"/>
          <w:kern w:val="0"/>
          <w:sz w:val="21"/>
          <w:szCs w:val="21"/>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"分析星巴克的商业模式" </w:t>
      </w:r>
      <w:r>
        <w:rPr>
          <w:rFonts w:hint="eastAsia" w:ascii="黑体" w:hAnsi="黑体" w:eastAsia="黑体" w:cs="黑体"/>
          <w:i w:val="0"/>
          <w:iCs w:val="0"/>
          <w:caps w:val="0"/>
          <w:spacing w:val="0"/>
          <w:kern w:val="0"/>
          <w:sz w:val="18"/>
          <w:szCs w:val="18"/>
          <w:shd w:val="clear" w:fill="FFFFFF"/>
          <w:lang w:val="en-US" w:eastAsia="zh-CN" w:bidi="ar"/>
        </w:rPr>
        <w:t xml:space="preserve"> </w:t>
      </w:r>
    </w:p>
    <w:p w14:paraId="6AD34013">
      <w:pPr>
        <w:rPr>
          <w:rFonts w:hint="default"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存在问题：缺少分析框架，可能导致模型输出空泛；未指定知识范围，可能导致模型遗漏关键信息要素；输出格式不明确，可能导致难以应用到具体场景。</w:t>
      </w:r>
    </w:p>
    <w:p w14:paraId="17346BA3">
      <w:pP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精准提示：</w:t>
      </w:r>
    </w:p>
    <w:p w14:paraId="10D8FC37">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w:t>
      </w:r>
      <w:r>
        <w:rPr>
          <w:rFonts w:hint="eastAsia" w:ascii="黑体" w:hAnsi="黑体" w:eastAsia="黑体" w:cs="黑体"/>
          <w:i/>
          <w:iCs/>
          <w:caps w:val="0"/>
          <w:spacing w:val="0"/>
          <w:kern w:val="0"/>
          <w:sz w:val="18"/>
          <w:szCs w:val="18"/>
          <w:u w:val="none"/>
          <w:shd w:val="clear" w:fill="FFFFFF"/>
          <w:lang w:val="en-US" w:eastAsia="zh-CN" w:bidi="ar"/>
        </w:rPr>
        <w:t xml:space="preserve">你作为MBA战略课教授，使用波特价值链模型分析星巴克2023年在中国市场的商业模式，重点说明：  </w:t>
      </w:r>
    </w:p>
    <w:p w14:paraId="773EDD10">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1. 核心价值活动（采购/营销/门店运营）  </w:t>
      </w:r>
    </w:p>
    <w:p w14:paraId="7C2B5D25">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2. 利润池结构变化（预付费卡 vs 现制饮品）  </w:t>
      </w:r>
    </w:p>
    <w:p w14:paraId="2F80BE52">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3. 对比瑞幸的差异化要素</w:t>
      </w:r>
    </w:p>
    <w:p w14:paraId="19FF996E">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按此结构输出表格：  </w:t>
      </w:r>
    </w:p>
    <w:p w14:paraId="41D35C7C">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 分析维度       | 关键发现                  | 数据支持（百分比/金额） |  </w:t>
      </w:r>
    </w:p>
    <w:p w14:paraId="275FAA5E">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  </w:t>
      </w:r>
    </w:p>
    <w:p w14:paraId="44629DB2">
      <w:pPr>
        <w:rPr>
          <w:rFonts w:hint="eastAsia" w:ascii="黑体" w:hAnsi="黑体" w:eastAsia="黑体" w:cs="黑体"/>
          <w:i/>
          <w:iCs/>
          <w:caps w:val="0"/>
          <w:spacing w:val="0"/>
          <w:kern w:val="0"/>
          <w:sz w:val="18"/>
          <w:szCs w:val="18"/>
          <w:u w:val="none"/>
          <w:shd w:val="clear" w:fill="FFFFFF"/>
          <w:lang w:val="en-US" w:eastAsia="zh-CN" w:bidi="ar"/>
        </w:rPr>
      </w:pPr>
      <w:r>
        <w:rPr>
          <w:rFonts w:hint="eastAsia" w:ascii="黑体" w:hAnsi="黑体" w:eastAsia="黑体" w:cs="黑体"/>
          <w:i/>
          <w:iCs/>
          <w:caps w:val="0"/>
          <w:spacing w:val="0"/>
          <w:kern w:val="0"/>
          <w:sz w:val="18"/>
          <w:szCs w:val="18"/>
          <w:u w:val="none"/>
          <w:shd w:val="clear" w:fill="FFFFFF"/>
          <w:lang w:val="en-US" w:eastAsia="zh-CN" w:bidi="ar"/>
        </w:rPr>
        <w:t xml:space="preserve">| 上游供应链      | （例）云南咖啡直采占比60% | 2023年报第8页        |  </w:t>
      </w:r>
      <w:r>
        <w:rPr>
          <w:rFonts w:hint="eastAsia" w:ascii="黑体" w:hAnsi="黑体" w:eastAsia="黑体" w:cs="黑体"/>
          <w:i/>
          <w:iCs/>
          <w:caps w:val="0"/>
          <w:spacing w:val="0"/>
          <w:kern w:val="0"/>
          <w:sz w:val="18"/>
          <w:szCs w:val="18"/>
          <w:shd w:val="clear" w:fill="FFFFFF"/>
          <w:lang w:val="en-US" w:eastAsia="zh-CN" w:bidi="ar"/>
        </w:rPr>
        <w:t>"</w:t>
      </w:r>
    </w:p>
    <w:p w14:paraId="68F1A552">
      <w:pPr>
        <w:rPr>
          <w:rFonts w:hint="default"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质量提升：明确分析框架，可以强化模型具体理论应用；限定时空范围，有效提升案例时效性；要求输出格式，便于场景应用。</w:t>
      </w:r>
    </w:p>
    <w:p w14:paraId="5E40803E">
      <w:pPr>
        <w:keepNext/>
        <w:keepLines/>
        <w:widowControl w:val="0"/>
        <w:adjustRightInd w:val="0"/>
        <w:spacing w:before="120" w:after="120" w:line="240" w:lineRule="auto"/>
        <w:ind w:firstLine="420" w:firstLineChars="200"/>
        <w:jc w:val="both"/>
        <w:textAlignment w:val="baseline"/>
        <w:outlineLvl w:val="3"/>
        <w:rPr>
          <w:rFonts w:hint="default" w:ascii="宋体" w:hAnsi="宋体" w:eastAsia="宋体" w:cs="宋体"/>
          <w:b/>
          <w:bCs/>
          <w:i w:val="0"/>
          <w:iCs w:val="0"/>
          <w:caps w:val="0"/>
          <w:spacing w:val="0"/>
          <w:kern w:val="0"/>
          <w:sz w:val="21"/>
          <w:szCs w:val="21"/>
          <w:shd w:val="clear" w:fill="FFFFFF"/>
          <w:lang w:val="en-US" w:eastAsia="zh-CN" w:bidi="ar"/>
        </w:rPr>
      </w:pPr>
      <w:r>
        <w:rPr>
          <w:rFonts w:hint="eastAsia" w:ascii="Arial" w:hAnsi="Arial" w:eastAsia="黑体" w:cs="Times New Roman"/>
          <w:sz w:val="21"/>
          <w:lang w:val="en-US" w:eastAsia="zh-CN" w:bidi="ar-SA"/>
        </w:rPr>
        <w:t>2. 示范对比（2）应用讲解</w:t>
      </w:r>
    </w:p>
    <w:p w14:paraId="14355CA6">
      <w:pP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模糊提示：</w:t>
      </w:r>
    </w:p>
    <w:p w14:paraId="4AA76F96">
      <w:pPr>
        <w:rPr>
          <w:rFonts w:hint="eastAsia" w:ascii="黑体" w:hAnsi="黑体" w:eastAsia="黑体" w:cs="黑体"/>
          <w:i/>
          <w:iCs/>
          <w:caps w:val="0"/>
          <w:spacing w:val="0"/>
          <w:kern w:val="0"/>
          <w:sz w:val="21"/>
          <w:szCs w:val="21"/>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"解释DCF模型怎么用" </w:t>
      </w:r>
      <w:r>
        <w:rPr>
          <w:rFonts w:hint="eastAsia" w:ascii="黑体" w:hAnsi="黑体" w:eastAsia="黑体" w:cs="黑体"/>
          <w:i/>
          <w:iCs/>
          <w:caps w:val="0"/>
          <w:spacing w:val="0"/>
          <w:kern w:val="0"/>
          <w:sz w:val="21"/>
          <w:szCs w:val="21"/>
          <w:shd w:val="clear" w:fill="FFFFFF"/>
          <w:lang w:val="en-US" w:eastAsia="zh-CN" w:bidi="ar"/>
        </w:rPr>
        <w:t xml:space="preserve"> </w:t>
      </w:r>
    </w:p>
    <w:p w14:paraId="53FD6E90">
      <w:pPr>
        <w:rPr>
          <w:rFonts w:hint="default"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存在问题：未说明受众，可能导致大语言模型输出过于基础或艰深；未说明应用场景，可能导致理论空泛；缺少错误防范或重点强调提示，可能导致输出结果偏差。</w:t>
      </w:r>
    </w:p>
    <w:p w14:paraId="04BCB4EC">
      <w:pP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精准提示：</w:t>
      </w:r>
    </w:p>
    <w:p w14:paraId="0C9C869E">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"向金融专业大三学生演示DCF估值实战流程：  </w:t>
      </w:r>
    </w:p>
    <w:p w14:paraId="21DFF2F9">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1. 用特斯拉案例分步计算（2025-2030预测期）  </w:t>
      </w:r>
    </w:p>
    <w:p w14:paraId="0D5A1796">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2. 重点强调：  </w:t>
      </w:r>
    </w:p>
    <w:p w14:paraId="4211C7F5">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Beta系数估算的3种方法（必须展示公式）  </w:t>
      </w:r>
    </w:p>
    <w:p w14:paraId="1090ACD5">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永续增长率敏感性分析（g=2% vs 3%场景）  </w:t>
      </w:r>
    </w:p>
    <w:p w14:paraId="6FC75484">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常见错误：WACC与现金流口径错配  </w:t>
      </w:r>
    </w:p>
    <w:p w14:paraId="36F54146">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3. 输出：  </w:t>
      </w:r>
    </w:p>
    <w:p w14:paraId="3883075B">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Excel截图（带关键单元格公式）  </w:t>
      </w:r>
    </w:p>
    <w:p w14:paraId="29D63134">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300字结论（含估值区间±15%波动原因）  "</w:t>
      </w:r>
    </w:p>
    <w:p w14:paraId="237EAD16">
      <w:pPr>
        <w:rPr>
          <w:rFonts w:hint="default"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质量提升：设置真实案例，增加可靠信源；标注重点难点，适用于教研教学；明确输出方式，便于总结和结果复用。</w:t>
      </w:r>
    </w:p>
    <w:p w14:paraId="5D6BD5BE">
      <w:pPr>
        <w:keepNext/>
        <w:keepLines/>
        <w:widowControl w:val="0"/>
        <w:adjustRightInd w:val="0"/>
        <w:spacing w:before="120" w:after="120" w:line="240" w:lineRule="auto"/>
        <w:ind w:firstLine="420" w:firstLineChars="200"/>
        <w:jc w:val="both"/>
        <w:textAlignment w:val="baseline"/>
        <w:outlineLvl w:val="3"/>
        <w:rPr>
          <w:rFonts w:hint="default" w:ascii="宋体" w:hAnsi="宋体" w:eastAsia="宋体" w:cs="宋体"/>
          <w:i w:val="0"/>
          <w:iCs w:val="0"/>
          <w:caps w:val="0"/>
          <w:spacing w:val="0"/>
          <w:kern w:val="0"/>
          <w:sz w:val="21"/>
          <w:szCs w:val="21"/>
          <w:shd w:val="clear" w:fill="FFFFFF"/>
          <w:lang w:val="en-US" w:eastAsia="zh-CN" w:bidi="ar"/>
        </w:rPr>
      </w:pPr>
      <w:r>
        <w:rPr>
          <w:rFonts w:hint="eastAsia" w:ascii="Arial" w:hAnsi="Arial" w:eastAsia="黑体" w:cs="Times New Roman"/>
          <w:sz w:val="21"/>
          <w:lang w:val="en-US" w:eastAsia="zh-CN" w:bidi="ar-SA"/>
        </w:rPr>
        <w:t>3. 示范对比（3）课题讨论</w:t>
      </w:r>
    </w:p>
    <w:p w14:paraId="709FB789">
      <w:pPr>
        <w:rPr>
          <w:rFonts w:hint="eastAsia" w:ascii="宋体" w:hAnsi="宋体" w:eastAsia="宋体" w:cs="宋体"/>
          <w:b w:val="0"/>
          <w:bCs w:val="0"/>
          <w:i w:val="0"/>
          <w:iCs w:val="0"/>
          <w:caps w:val="0"/>
          <w:spacing w:val="0"/>
          <w:kern w:val="0"/>
          <w:sz w:val="21"/>
          <w:szCs w:val="21"/>
          <w:shd w:val="clear" w:fill="FFFFFF"/>
          <w:lang w:val="en-US" w:eastAsia="zh-CN" w:bidi="ar"/>
        </w:rPr>
      </w:pPr>
      <w:r>
        <w:rPr>
          <w:rFonts w:hint="eastAsia" w:ascii="宋体" w:hAnsi="宋体" w:eastAsia="宋体" w:cs="宋体"/>
          <w:b w:val="0"/>
          <w:bCs w:val="0"/>
          <w:i w:val="0"/>
          <w:iCs w:val="0"/>
          <w:caps w:val="0"/>
          <w:spacing w:val="0"/>
          <w:kern w:val="0"/>
          <w:sz w:val="21"/>
          <w:szCs w:val="21"/>
          <w:shd w:val="clear" w:fill="FFFFFF"/>
          <w:lang w:val="en-US" w:eastAsia="zh-CN" w:bidi="ar"/>
        </w:rPr>
        <w:t>模糊提示：</w:t>
      </w:r>
    </w:p>
    <w:p w14:paraId="441131AB">
      <w:pPr>
        <w:rPr>
          <w:rFonts w:hint="default" w:ascii="宋体" w:hAnsi="宋体" w:eastAsia="宋体" w:cs="宋体"/>
          <w:b w:val="0"/>
          <w:bCs w:val="0"/>
          <w:i w:val="0"/>
          <w:iCs w:val="0"/>
          <w:caps w:val="0"/>
          <w:spacing w:val="0"/>
          <w:kern w:val="0"/>
          <w:sz w:val="21"/>
          <w:szCs w:val="21"/>
          <w:shd w:val="clear" w:fill="FFFFFF"/>
          <w:lang w:val="en-US" w:eastAsia="zh-CN" w:bidi="ar"/>
        </w:rPr>
      </w:pPr>
      <w:r>
        <w:rPr>
          <w:rFonts w:hint="eastAsia" w:ascii="黑体" w:hAnsi="黑体" w:eastAsia="黑体" w:cs="黑体"/>
          <w:b w:val="0"/>
          <w:bCs w:val="0"/>
          <w:i/>
          <w:iCs/>
          <w:caps w:val="0"/>
          <w:spacing w:val="0"/>
          <w:kern w:val="0"/>
          <w:sz w:val="18"/>
          <w:szCs w:val="18"/>
          <w:shd w:val="clear" w:fill="FFFFFF"/>
          <w:lang w:val="en-US" w:eastAsia="zh-CN" w:bidi="ar"/>
        </w:rPr>
        <w:t>"生成关于ESG的讨论题"</w:t>
      </w:r>
      <w:r>
        <w:rPr>
          <w:rFonts w:hint="eastAsia" w:ascii="黑体" w:hAnsi="黑体" w:eastAsia="黑体" w:cs="黑体"/>
          <w:b w:val="0"/>
          <w:bCs w:val="0"/>
          <w:i w:val="0"/>
          <w:iCs w:val="0"/>
          <w:caps w:val="0"/>
          <w:spacing w:val="0"/>
          <w:kern w:val="0"/>
          <w:sz w:val="21"/>
          <w:szCs w:val="21"/>
          <w:shd w:val="clear" w:fill="FFFFFF"/>
          <w:lang w:val="en-US" w:eastAsia="zh-CN" w:bidi="ar"/>
        </w:rPr>
        <w:t xml:space="preserve"> </w:t>
      </w:r>
      <w:r>
        <w:rPr>
          <w:rFonts w:hint="eastAsia" w:ascii="宋体" w:hAnsi="宋体" w:eastAsia="宋体" w:cs="宋体"/>
          <w:b w:val="0"/>
          <w:bCs w:val="0"/>
          <w:i w:val="0"/>
          <w:iCs w:val="0"/>
          <w:caps w:val="0"/>
          <w:spacing w:val="0"/>
          <w:kern w:val="0"/>
          <w:sz w:val="21"/>
          <w:szCs w:val="21"/>
          <w:shd w:val="clear" w:fill="FFFFFF"/>
          <w:lang w:val="en-US" w:eastAsia="zh-CN" w:bidi="ar"/>
        </w:rPr>
        <w:t xml:space="preserve"> </w:t>
      </w:r>
    </w:p>
    <w:p w14:paraId="7A51F56C">
      <w:pPr>
        <w:rPr>
          <w:rFonts w:hint="default"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问题：问题设置过于宽泛，容易导致讨论流于表面；缺乏争议点讨论点设计，难以训练辩证思维。</w:t>
      </w:r>
    </w:p>
    <w:p w14:paraId="3B3EE97C">
      <w:pP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t>精准提示：</w:t>
      </w:r>
    </w:p>
    <w:p w14:paraId="22F4FDD6">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"设计MBA《企业伦理》课的ESG辩论活动：  </w:t>
      </w:r>
    </w:p>
    <w:p w14:paraId="59AA3A68">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1. 背景：全球矿业巨头在刚果采购钴矿  </w:t>
      </w:r>
    </w:p>
    <w:p w14:paraId="7E6EF374">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2. 正反立场：  </w:t>
      </w:r>
    </w:p>
    <w:p w14:paraId="53E29D75">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正方：ESG评级提升可使资本成本降低2%（引CDP报告）  </w:t>
      </w:r>
    </w:p>
    <w:p w14:paraId="513A582B">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反方：审计漏洞导致30%供应链ESG数据造假（引BBC调查）  </w:t>
      </w:r>
    </w:p>
    <w:p w14:paraId="14014BA6">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3. 输出：  </w:t>
      </w:r>
    </w:p>
    <w:p w14:paraId="25974394">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角色卡（投资者/社区代表/NGO）  </w:t>
      </w:r>
    </w:p>
    <w:p w14:paraId="20061FDF">
      <w:pPr>
        <w:rPr>
          <w:rFonts w:hint="eastAsia" w:ascii="黑体" w:hAnsi="黑体" w:eastAsia="黑体" w:cs="黑体"/>
          <w:i/>
          <w:iCs/>
          <w:caps w:val="0"/>
          <w:spacing w:val="0"/>
          <w:kern w:val="0"/>
          <w:sz w:val="18"/>
          <w:szCs w:val="18"/>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争议焦点清单（至少含”外部性内部化成本“测算问题）  </w:t>
      </w:r>
    </w:p>
    <w:p w14:paraId="14C5CFAD">
      <w:pPr>
        <w:rPr>
          <w:rFonts w:hint="eastAsia" w:ascii="黑体" w:hAnsi="黑体" w:eastAsia="黑体" w:cs="黑体"/>
          <w:i w:val="0"/>
          <w:iCs w:val="0"/>
          <w:caps w:val="0"/>
          <w:spacing w:val="0"/>
          <w:kern w:val="0"/>
          <w:sz w:val="21"/>
          <w:szCs w:val="21"/>
          <w:shd w:val="clear" w:fill="FFFFFF"/>
          <w:lang w:val="en-US" w:eastAsia="zh-CN" w:bidi="ar"/>
        </w:rPr>
      </w:pPr>
      <w:r>
        <w:rPr>
          <w:rFonts w:hint="eastAsia" w:ascii="黑体" w:hAnsi="黑体" w:eastAsia="黑体" w:cs="黑体"/>
          <w:i/>
          <w:iCs/>
          <w:caps w:val="0"/>
          <w:spacing w:val="0"/>
          <w:kern w:val="0"/>
          <w:sz w:val="18"/>
          <w:szCs w:val="18"/>
          <w:shd w:val="clear" w:fill="FFFFFF"/>
          <w:lang w:val="en-US" w:eastAsia="zh-CN" w:bidi="ar"/>
        </w:rPr>
        <w:t xml:space="preserve">   • 教师引导话术（当讨论偏题时的干预策略）"</w:t>
      </w:r>
    </w:p>
    <w:p w14:paraId="0D223ADD">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质量提升：植入量化数据冲突，能够训练数据思辨；设置多角色视角，在教学中可以培养系统思考能力；设置输出教师干预指南，能够保障教学场景有效性。</w:t>
      </w:r>
    </w:p>
    <w:p w14:paraId="00AD476B">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将以上提示示例简单总结为一套简单的方法，即在原始需求的基础之上增加四重元素：理论框架（波特价值链方法）、时空边界（2023年）、输出格式（表格或标注）和认知锚点（学生常见错误），能够有效将模糊需求精准具体化，如图1-1所示。</w:t>
      </w:r>
    </w:p>
    <w:p w14:paraId="14111950">
      <w:pPr>
        <w:ind w:left="0" w:leftChars="0" w:firstLine="0" w:firstLineChars="0"/>
        <w:jc w:val="center"/>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drawing>
          <wp:inline distT="0" distB="0" distL="114300" distR="114300">
            <wp:extent cx="3521710" cy="1715770"/>
            <wp:effectExtent l="0" t="0" r="2540" b="17780"/>
            <wp:docPr id="7" name="图片 7" descr="提示词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提示词约束"/>
                    <pic:cNvPicPr>
                      <a:picLocks noChangeAspect="1"/>
                    </pic:cNvPicPr>
                  </pic:nvPicPr>
                  <pic:blipFill>
                    <a:blip r:embed="rId8"/>
                    <a:stretch>
                      <a:fillRect/>
                    </a:stretch>
                  </pic:blipFill>
                  <pic:spPr>
                    <a:xfrm>
                      <a:off x="0" y="0"/>
                      <a:ext cx="3521710" cy="1715770"/>
                    </a:xfrm>
                    <a:prstGeom prst="rect">
                      <a:avLst/>
                    </a:prstGeom>
                  </pic:spPr>
                </pic:pic>
              </a:graphicData>
            </a:graphic>
          </wp:inline>
        </w:drawing>
      </w:r>
    </w:p>
    <w:p w14:paraId="3332B48F">
      <w:pPr>
        <w:pStyle w:val="8"/>
        <w:keepNext w:val="0"/>
        <w:keepLines w:val="0"/>
        <w:pageBreakBefore w:val="0"/>
        <w:widowControl w:val="0"/>
        <w:kinsoku/>
        <w:wordWrap/>
        <w:overflowPunct/>
        <w:topLinePunct w:val="0"/>
        <w:autoSpaceDE/>
        <w:autoSpaceDN/>
        <w:bidi w:val="0"/>
        <w:adjustRightInd w:val="0"/>
        <w:snapToGrid w:val="0"/>
        <w:spacing w:after="157" w:afterLines="50"/>
        <w:ind w:left="0" w:leftChars="0" w:firstLine="0" w:firstLineChars="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2 精准提示四重约束</w:t>
      </w:r>
    </w:p>
    <w:p w14:paraId="68CE3BFD">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目前，很多大模型已将提示词优化的功能内置，绝大多数为后台自动优化，用户不可见也不可控，输出的结果仍然会有一定偏离度，这就需要我们专业用户以规范严谨的提示词来尽量约束AI幻觉、控制AI发挥，除手动写作提示词，也有一些便利的工具可根据以上提示词框架来完善提示词。</w:t>
      </w:r>
    </w:p>
    <w:p w14:paraId="7842C5A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如下图所示，AI魔方输入法仅需输入提示词的核心梗概，然后Ctrl+C复制该核心梗概，即可选择适合的常用框架来自动生成相对完善的提示词再简单改写，也可自定义提示词框架并收藏备用。</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45"/>
      </w:tblGrid>
      <w:tr w14:paraId="12AFC0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4" w:type="dxa"/>
          </w:tcPr>
          <w:p w14:paraId="35425D4B">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p>
          <w:p w14:paraId="1D8545F4">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3712210" cy="1807210"/>
                  <wp:effectExtent l="0" t="0" r="1270" b="6350"/>
                  <wp:docPr id="20" name="图片 20" descr="1-3提示词框架截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提示词框架截改"/>
                          <pic:cNvPicPr>
                            <a:picLocks noChangeAspect="1"/>
                          </pic:cNvPicPr>
                        </pic:nvPicPr>
                        <pic:blipFill>
                          <a:blip r:embed="rId9"/>
                          <a:stretch>
                            <a:fillRect/>
                          </a:stretch>
                        </pic:blipFill>
                        <pic:spPr>
                          <a:xfrm>
                            <a:off x="0" y="0"/>
                            <a:ext cx="3712210" cy="1807210"/>
                          </a:xfrm>
                          <a:prstGeom prst="rect">
                            <a:avLst/>
                          </a:prstGeom>
                        </pic:spPr>
                      </pic:pic>
                    </a:graphicData>
                  </a:graphic>
                </wp:inline>
              </w:drawing>
            </w:r>
          </w:p>
          <w:p w14:paraId="37888BBD">
            <w:pPr>
              <w:pStyle w:val="8"/>
              <w:keepNext w:val="0"/>
              <w:keepLines w:val="0"/>
              <w:pageBreakBefore w:val="0"/>
              <w:widowControl w:val="0"/>
              <w:kinsoku/>
              <w:wordWrap/>
              <w:overflowPunct/>
              <w:topLinePunct w:val="0"/>
              <w:autoSpaceDE/>
              <w:autoSpaceDN/>
              <w:bidi w:val="0"/>
              <w:adjustRightInd w:val="0"/>
              <w:snapToGrid w:val="0"/>
              <w:spacing w:after="157" w:afterLines="50"/>
              <w:ind w:left="0" w:leftChars="0" w:firstLine="0" w:firstLineChars="0"/>
              <w:jc w:val="center"/>
              <w:textAlignment w:val="auto"/>
              <w:rPr>
                <w:rFonts w:hint="default" w:eastAsia="黑体"/>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3 AI根据常见提示词框架代写提示词——AI魔方输入法</w:t>
            </w:r>
          </w:p>
        </w:tc>
      </w:tr>
      <w:tr w14:paraId="5E3CE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034" w:type="dxa"/>
          </w:tcPr>
          <w:p w14:paraId="121F9B22">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795010" cy="2558415"/>
                  <wp:effectExtent l="0" t="0" r="1905" b="0"/>
                  <wp:docPr id="17" name="图片 17" descr="1-4拼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拼图2"/>
                          <pic:cNvPicPr>
                            <a:picLocks noChangeAspect="1"/>
                          </pic:cNvPicPr>
                        </pic:nvPicPr>
                        <pic:blipFill>
                          <a:blip r:embed="rId10"/>
                          <a:stretch>
                            <a:fillRect/>
                          </a:stretch>
                        </pic:blipFill>
                        <pic:spPr>
                          <a:xfrm>
                            <a:off x="0" y="0"/>
                            <a:ext cx="5795010" cy="2558415"/>
                          </a:xfrm>
                          <a:prstGeom prst="rect">
                            <a:avLst/>
                          </a:prstGeom>
                        </pic:spPr>
                      </pic:pic>
                    </a:graphicData>
                  </a:graphic>
                </wp:inline>
              </w:drawing>
            </w:r>
          </w:p>
          <w:p w14:paraId="4C2DBA04">
            <w:pPr>
              <w:pStyle w:val="8"/>
              <w:keepNext w:val="0"/>
              <w:keepLines w:val="0"/>
              <w:pageBreakBefore w:val="0"/>
              <w:widowControl w:val="0"/>
              <w:kinsoku/>
              <w:wordWrap/>
              <w:overflowPunct/>
              <w:topLinePunct w:val="0"/>
              <w:autoSpaceDE/>
              <w:autoSpaceDN/>
              <w:bidi w:val="0"/>
              <w:adjustRightInd w:val="0"/>
              <w:snapToGrid w:val="0"/>
              <w:spacing w:after="157" w:afterLines="50"/>
              <w:ind w:left="0" w:leftChars="0" w:firstLine="0" w:firstLineChars="0"/>
              <w:jc w:val="center"/>
              <w:textAlignment w:val="auto"/>
              <w:rPr>
                <w:rFonts w:hint="default" w:ascii="宋体" w:hAnsi="宋体" w:eastAsia="宋体" w:cs="宋体"/>
                <w:sz w:val="18"/>
                <w:szCs w:val="18"/>
                <w:lang w:val="en-US"/>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4 自定义AI指令-自定义提示词框架——AI魔方</w:t>
            </w:r>
          </w:p>
        </w:tc>
      </w:tr>
    </w:tbl>
    <w:p w14:paraId="1B234CA0">
      <w:pPr>
        <w:ind w:left="0" w:leftChars="0" w:firstLine="0" w:firstLineChars="0"/>
        <w:rPr>
          <w:rFonts w:hint="default" w:ascii="宋体" w:hAnsi="宋体" w:eastAsia="宋体" w:cs="宋体"/>
          <w:i w:val="0"/>
          <w:iCs w:val="0"/>
          <w:caps w:val="0"/>
          <w:spacing w:val="0"/>
          <w:kern w:val="0"/>
          <w:sz w:val="21"/>
          <w:szCs w:val="21"/>
          <w:highlight w:val="yellow"/>
          <w:shd w:val="clear" w:fill="FFFFFF"/>
          <w:lang w:val="en-US" w:eastAsia="zh-CN" w:bidi="ar"/>
        </w:rPr>
      </w:pPr>
    </w:p>
    <w:p w14:paraId="6329A6C1">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1.4.2  </w:t>
      </w:r>
      <w:r>
        <w:rPr>
          <w:rFonts w:hint="eastAsia" w:ascii="Arial" w:hAnsi="Arial"/>
          <w:lang w:val="en-US" w:eastAsia="zh-CN"/>
        </w:rPr>
        <w:t>参数调优：风格与标准维度，参数调得准，AI发挥稳</w:t>
      </w:r>
    </w:p>
    <w:p w14:paraId="65DB7E6C">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参数调优是优化AIGC模型输出效果的核心手段，可解决生成内容模糊、逻辑断层、风格偏离等问题。</w:t>
      </w:r>
    </w:p>
    <w:p w14:paraId="03DE1A26">
      <w:pPr>
        <w:widowControl w:val="0"/>
        <w:adjustRightInd w:val="0"/>
        <w:spacing w:before="152" w:beforeLines="50" w:line="332" w:lineRule="atLeast"/>
        <w:ind w:left="0" w:leftChars="0" w:firstLine="0" w:firstLineChars="0"/>
        <w:jc w:val="center"/>
        <w:textAlignment w:val="baseline"/>
        <w:rPr>
          <w:rFonts w:hint="default" w:ascii="Times New Roman" w:hAnsi="Times New Roman" w:eastAsia="宋体" w:cs="Times New Roman"/>
          <w:kern w:val="2"/>
          <w:sz w:val="21"/>
          <w:lang w:val="en-US" w:eastAsia="zh-CN" w:bidi="ar-SA"/>
        </w:rPr>
      </w:pPr>
      <w:r>
        <w:rPr>
          <w:rFonts w:hint="eastAsia" w:ascii="Arial" w:hAnsi="Arial" w:eastAsia="黑体" w:cs="Arial"/>
          <w:sz w:val="18"/>
          <w:lang w:val="en-US" w:eastAsia="zh-CN" w:bidi="ar-SA"/>
        </w:rPr>
        <w:t>表1-6  大模型常用调整参数</w:t>
      </w: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1217"/>
        <w:gridCol w:w="1097"/>
        <w:gridCol w:w="2806"/>
        <w:gridCol w:w="1557"/>
        <w:gridCol w:w="932"/>
        <w:gridCol w:w="2117"/>
      </w:tblGrid>
      <w:tr w14:paraId="0CF49CD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444" w:hRule="atLeast"/>
          <w:tblHeader/>
        </w:trPr>
        <w:tc>
          <w:tcPr>
            <w:tcW w:w="1217" w:type="dxa"/>
            <w:tcBorders>
              <w:left w:val="nil"/>
            </w:tcBorders>
            <w:shd w:val="clear" w:color="auto" w:fill="FFFFFF"/>
            <w:tcMar>
              <w:top w:w="150" w:type="dxa"/>
              <w:left w:w="0" w:type="dxa"/>
              <w:bottom w:w="150" w:type="dxa"/>
              <w:right w:w="150" w:type="dxa"/>
            </w:tcMar>
            <w:vAlign w:val="center"/>
          </w:tcPr>
          <w:p w14:paraId="2A9A6933">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参数</w:t>
            </w:r>
          </w:p>
        </w:tc>
        <w:tc>
          <w:tcPr>
            <w:tcW w:w="1097" w:type="dxa"/>
            <w:shd w:val="clear" w:color="auto" w:fill="FFFFFF"/>
            <w:tcMar>
              <w:top w:w="150" w:type="dxa"/>
              <w:left w:w="150" w:type="dxa"/>
              <w:bottom w:w="150" w:type="dxa"/>
              <w:right w:w="150" w:type="dxa"/>
            </w:tcMar>
            <w:vAlign w:val="center"/>
          </w:tcPr>
          <w:p w14:paraId="2EED0B1A">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取值范围</w:t>
            </w:r>
          </w:p>
        </w:tc>
        <w:tc>
          <w:tcPr>
            <w:tcW w:w="2806" w:type="dxa"/>
            <w:shd w:val="clear" w:color="auto" w:fill="FFFFFF"/>
            <w:tcMar>
              <w:top w:w="150" w:type="dxa"/>
              <w:left w:w="150" w:type="dxa"/>
              <w:bottom w:w="150" w:type="dxa"/>
              <w:right w:w="150" w:type="dxa"/>
            </w:tcMar>
            <w:vAlign w:val="center"/>
          </w:tcPr>
          <w:p w14:paraId="5B8E35D2">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作用</w:t>
            </w:r>
          </w:p>
        </w:tc>
        <w:tc>
          <w:tcPr>
            <w:tcW w:w="1557" w:type="dxa"/>
            <w:shd w:val="clear" w:color="auto" w:fill="FFFFFF"/>
            <w:tcMar>
              <w:top w:w="150" w:type="dxa"/>
              <w:left w:w="150" w:type="dxa"/>
              <w:bottom w:w="150" w:type="dxa"/>
              <w:right w:w="150" w:type="dxa"/>
            </w:tcMar>
            <w:vAlign w:val="center"/>
          </w:tcPr>
          <w:p w14:paraId="014C00EE">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适用场景</w:t>
            </w:r>
          </w:p>
        </w:tc>
        <w:tc>
          <w:tcPr>
            <w:tcW w:w="932" w:type="dxa"/>
            <w:shd w:val="clear" w:color="auto" w:fill="FFFFFF"/>
            <w:tcMar>
              <w:top w:w="150" w:type="dxa"/>
              <w:left w:w="150" w:type="dxa"/>
              <w:bottom w:w="150" w:type="dxa"/>
              <w:right w:w="150" w:type="dxa"/>
            </w:tcMar>
            <w:vAlign w:val="center"/>
          </w:tcPr>
          <w:p w14:paraId="2817B4A4">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推荐初始值</w:t>
            </w:r>
          </w:p>
        </w:tc>
        <w:tc>
          <w:tcPr>
            <w:tcW w:w="2117" w:type="dxa"/>
            <w:tcBorders>
              <w:right w:val="nil"/>
            </w:tcBorders>
            <w:shd w:val="clear" w:color="auto" w:fill="FFFFFF"/>
            <w:tcMar>
              <w:top w:w="150" w:type="dxa"/>
              <w:left w:w="150" w:type="dxa"/>
              <w:bottom w:w="150" w:type="dxa"/>
              <w:right w:w="150" w:type="dxa"/>
            </w:tcMar>
            <w:vAlign w:val="center"/>
          </w:tcPr>
          <w:p w14:paraId="0C724D14">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404040"/>
                <w:spacing w:val="0"/>
                <w:sz w:val="18"/>
                <w:szCs w:val="18"/>
              </w:rPr>
            </w:pPr>
            <w:r>
              <w:rPr>
                <w:rStyle w:val="16"/>
                <w:rFonts w:hint="eastAsia" w:ascii="黑体" w:hAnsi="黑体" w:eastAsia="黑体" w:cs="黑体"/>
                <w:b w:val="0"/>
                <w:bCs w:val="0"/>
                <w:i w:val="0"/>
                <w:iCs w:val="0"/>
                <w:caps w:val="0"/>
                <w:color w:val="404040"/>
                <w:spacing w:val="0"/>
                <w:kern w:val="0"/>
                <w:sz w:val="18"/>
                <w:szCs w:val="18"/>
                <w:lang w:val="en-US" w:eastAsia="zh-CN" w:bidi="ar"/>
              </w:rPr>
              <w:t>调整示例</w:t>
            </w:r>
          </w:p>
        </w:tc>
      </w:tr>
      <w:tr w14:paraId="5AC1004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217" w:type="dxa"/>
            <w:tcBorders>
              <w:left w:val="nil"/>
            </w:tcBorders>
            <w:shd w:val="clear" w:color="auto" w:fill="FFFFFF"/>
            <w:tcMar>
              <w:top w:w="150" w:type="dxa"/>
              <w:left w:w="0" w:type="dxa"/>
              <w:bottom w:w="150" w:type="dxa"/>
              <w:right w:w="150" w:type="dxa"/>
            </w:tcMar>
            <w:vAlign w:val="center"/>
          </w:tcPr>
          <w:p w14:paraId="0ED18370">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Temperature</w:t>
            </w:r>
          </w:p>
        </w:tc>
        <w:tc>
          <w:tcPr>
            <w:tcW w:w="1097" w:type="dxa"/>
            <w:shd w:val="clear" w:color="auto" w:fill="FFFFFF"/>
            <w:tcMar>
              <w:top w:w="150" w:type="dxa"/>
              <w:left w:w="150" w:type="dxa"/>
              <w:bottom w:w="150" w:type="dxa"/>
              <w:right w:w="150" w:type="dxa"/>
            </w:tcMar>
            <w:vAlign w:val="center"/>
          </w:tcPr>
          <w:p w14:paraId="5B7AA0D6">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0.0→2.0</w:t>
            </w:r>
          </w:p>
        </w:tc>
        <w:tc>
          <w:tcPr>
            <w:tcW w:w="2806" w:type="dxa"/>
            <w:shd w:val="clear" w:color="auto" w:fill="FFFFFF"/>
            <w:tcMar>
              <w:top w:w="150" w:type="dxa"/>
              <w:left w:w="150" w:type="dxa"/>
              <w:bottom w:w="150" w:type="dxa"/>
              <w:right w:w="150" w:type="dxa"/>
            </w:tcMar>
            <w:vAlign w:val="center"/>
          </w:tcPr>
          <w:p w14:paraId="51691975">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控制随机性</w:t>
            </w:r>
            <w:r>
              <w:rPr>
                <w:rFonts w:hint="eastAsia" w:ascii="宋体" w:hAnsi="宋体" w:eastAsia="宋体" w:cs="宋体"/>
                <w:b w:val="0"/>
                <w:bCs w:val="0"/>
                <w:i w:val="0"/>
                <w:iCs w:val="0"/>
                <w:caps w:val="0"/>
                <w:color w:val="404040"/>
                <w:spacing w:val="0"/>
                <w:kern w:val="0"/>
                <w:sz w:val="18"/>
                <w:szCs w:val="18"/>
                <w:lang w:val="en-US" w:eastAsia="zh-CN" w:bidi="ar"/>
              </w:rPr>
              <w:t>：值越高输出越多样/创意，值越低输出越确定/保守</w:t>
            </w:r>
          </w:p>
        </w:tc>
        <w:tc>
          <w:tcPr>
            <w:tcW w:w="1557" w:type="dxa"/>
            <w:shd w:val="clear" w:color="auto" w:fill="FFFFFF"/>
            <w:tcMar>
              <w:top w:w="150" w:type="dxa"/>
              <w:left w:w="150" w:type="dxa"/>
              <w:bottom w:w="150" w:type="dxa"/>
              <w:right w:w="150" w:type="dxa"/>
            </w:tcMar>
            <w:vAlign w:val="center"/>
          </w:tcPr>
          <w:p w14:paraId="0F82E1EF">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创意写作（高）、事实问答（低）</w:t>
            </w:r>
          </w:p>
        </w:tc>
        <w:tc>
          <w:tcPr>
            <w:tcW w:w="932" w:type="dxa"/>
            <w:shd w:val="clear" w:color="auto" w:fill="FFFFFF"/>
            <w:tcMar>
              <w:top w:w="150" w:type="dxa"/>
              <w:left w:w="150" w:type="dxa"/>
              <w:bottom w:w="150" w:type="dxa"/>
              <w:right w:w="150" w:type="dxa"/>
            </w:tcMar>
            <w:vAlign w:val="center"/>
          </w:tcPr>
          <w:p w14:paraId="3F1CD55A">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0.7</w:t>
            </w:r>
          </w:p>
        </w:tc>
        <w:tc>
          <w:tcPr>
            <w:tcW w:w="2117" w:type="dxa"/>
            <w:tcBorders>
              <w:right w:val="nil"/>
            </w:tcBorders>
            <w:shd w:val="clear" w:color="auto" w:fill="FFFFFF"/>
            <w:tcMar>
              <w:top w:w="150" w:type="dxa"/>
              <w:left w:w="150" w:type="dxa"/>
              <w:bottom w:w="150" w:type="dxa"/>
              <w:right w:w="150" w:type="dxa"/>
            </w:tcMar>
            <w:vAlign w:val="center"/>
          </w:tcPr>
          <w:p w14:paraId="205CF1B5">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0.2</w:t>
            </w:r>
            <w:r>
              <w:rPr>
                <w:rFonts w:hint="eastAsia" w:ascii="宋体" w:hAnsi="宋体" w:eastAsia="宋体" w:cs="宋体"/>
                <w:b w:val="0"/>
                <w:bCs w:val="0"/>
                <w:i w:val="0"/>
                <w:iCs w:val="0"/>
                <w:caps w:val="0"/>
                <w:color w:val="404040"/>
                <w:spacing w:val="0"/>
                <w:kern w:val="0"/>
                <w:sz w:val="18"/>
                <w:szCs w:val="18"/>
                <w:lang w:val="en-US" w:eastAsia="zh-CN" w:bidi="ar"/>
              </w:rPr>
              <w:t>→严格精准；</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1.0</w:t>
            </w:r>
            <w:r>
              <w:rPr>
                <w:rFonts w:hint="eastAsia" w:ascii="宋体" w:hAnsi="宋体" w:eastAsia="宋体" w:cs="宋体"/>
                <w:b w:val="0"/>
                <w:bCs w:val="0"/>
                <w:i w:val="0"/>
                <w:iCs w:val="0"/>
                <w:caps w:val="0"/>
                <w:color w:val="404040"/>
                <w:spacing w:val="0"/>
                <w:kern w:val="0"/>
                <w:sz w:val="18"/>
                <w:szCs w:val="18"/>
                <w:lang w:val="en-US" w:eastAsia="zh-CN" w:bidi="ar"/>
              </w:rPr>
              <w:t>→平衡；</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1.5</w:t>
            </w:r>
            <w:r>
              <w:rPr>
                <w:rFonts w:hint="eastAsia" w:ascii="宋体" w:hAnsi="宋体" w:eastAsia="宋体" w:cs="宋体"/>
                <w:b w:val="0"/>
                <w:bCs w:val="0"/>
                <w:i w:val="0"/>
                <w:iCs w:val="0"/>
                <w:caps w:val="0"/>
                <w:color w:val="404040"/>
                <w:spacing w:val="0"/>
                <w:kern w:val="0"/>
                <w:sz w:val="18"/>
                <w:szCs w:val="18"/>
                <w:lang w:val="en-US" w:eastAsia="zh-CN" w:bidi="ar"/>
              </w:rPr>
              <w:t>→天马行空</w:t>
            </w:r>
          </w:p>
        </w:tc>
      </w:tr>
      <w:tr w14:paraId="56E811C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217" w:type="dxa"/>
            <w:tcBorders>
              <w:left w:val="nil"/>
            </w:tcBorders>
            <w:shd w:val="clear" w:color="auto" w:fill="FFFFFF"/>
            <w:tcMar>
              <w:top w:w="150" w:type="dxa"/>
              <w:left w:w="0" w:type="dxa"/>
              <w:bottom w:w="150" w:type="dxa"/>
              <w:right w:w="150" w:type="dxa"/>
            </w:tcMar>
            <w:vAlign w:val="center"/>
          </w:tcPr>
          <w:p w14:paraId="0AA4611E">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Top-p</w:t>
            </w:r>
          </w:p>
        </w:tc>
        <w:tc>
          <w:tcPr>
            <w:tcW w:w="1097" w:type="dxa"/>
            <w:shd w:val="clear" w:color="auto" w:fill="FFFFFF"/>
            <w:tcMar>
              <w:top w:w="150" w:type="dxa"/>
              <w:left w:w="150" w:type="dxa"/>
              <w:bottom w:w="150" w:type="dxa"/>
              <w:right w:w="150" w:type="dxa"/>
            </w:tcMar>
            <w:vAlign w:val="center"/>
          </w:tcPr>
          <w:p w14:paraId="56BD11C5">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0.0→1.0</w:t>
            </w:r>
          </w:p>
        </w:tc>
        <w:tc>
          <w:tcPr>
            <w:tcW w:w="2806" w:type="dxa"/>
            <w:shd w:val="clear" w:color="auto" w:fill="FFFFFF"/>
            <w:tcMar>
              <w:top w:w="150" w:type="dxa"/>
              <w:left w:w="150" w:type="dxa"/>
              <w:bottom w:w="150" w:type="dxa"/>
              <w:right w:w="150" w:type="dxa"/>
            </w:tcMar>
            <w:vAlign w:val="center"/>
          </w:tcPr>
          <w:p w14:paraId="3B759045">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控制候选词范围</w:t>
            </w:r>
            <w:r>
              <w:rPr>
                <w:rFonts w:hint="eastAsia" w:ascii="宋体" w:hAnsi="宋体" w:eastAsia="宋体" w:cs="宋体"/>
                <w:b w:val="0"/>
                <w:bCs w:val="0"/>
                <w:i w:val="0"/>
                <w:iCs w:val="0"/>
                <w:caps w:val="0"/>
                <w:color w:val="404040"/>
                <w:spacing w:val="0"/>
                <w:kern w:val="0"/>
                <w:sz w:val="18"/>
                <w:szCs w:val="18"/>
                <w:lang w:val="en-US" w:eastAsia="zh-CN" w:bidi="ar"/>
              </w:rPr>
              <w:t>：仅从概率累积和达阈值的词中采样，避免低质量长尾词</w:t>
            </w:r>
          </w:p>
        </w:tc>
        <w:tc>
          <w:tcPr>
            <w:tcW w:w="1557" w:type="dxa"/>
            <w:shd w:val="clear" w:color="auto" w:fill="FFFFFF"/>
            <w:tcMar>
              <w:top w:w="150" w:type="dxa"/>
              <w:left w:w="150" w:type="dxa"/>
              <w:bottom w:w="150" w:type="dxa"/>
              <w:right w:w="150" w:type="dxa"/>
            </w:tcMar>
            <w:vAlign w:val="center"/>
          </w:tcPr>
          <w:p w14:paraId="6D87E07D">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需平衡质量与多样性时</w:t>
            </w:r>
          </w:p>
        </w:tc>
        <w:tc>
          <w:tcPr>
            <w:tcW w:w="932" w:type="dxa"/>
            <w:shd w:val="clear" w:color="auto" w:fill="FFFFFF"/>
            <w:tcMar>
              <w:top w:w="150" w:type="dxa"/>
              <w:left w:w="150" w:type="dxa"/>
              <w:bottom w:w="150" w:type="dxa"/>
              <w:right w:w="150" w:type="dxa"/>
            </w:tcMar>
            <w:vAlign w:val="center"/>
          </w:tcPr>
          <w:p w14:paraId="67EA526E">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0.9</w:t>
            </w:r>
          </w:p>
        </w:tc>
        <w:tc>
          <w:tcPr>
            <w:tcW w:w="2117" w:type="dxa"/>
            <w:tcBorders>
              <w:right w:val="nil"/>
            </w:tcBorders>
            <w:shd w:val="clear" w:color="auto" w:fill="FFFFFF"/>
            <w:tcMar>
              <w:top w:w="150" w:type="dxa"/>
              <w:left w:w="150" w:type="dxa"/>
              <w:bottom w:w="150" w:type="dxa"/>
              <w:right w:w="150" w:type="dxa"/>
            </w:tcMar>
            <w:vAlign w:val="center"/>
          </w:tcPr>
          <w:p w14:paraId="22A4C133">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0.5</w:t>
            </w:r>
            <w:r>
              <w:rPr>
                <w:rFonts w:hint="eastAsia" w:ascii="宋体" w:hAnsi="宋体" w:eastAsia="宋体" w:cs="宋体"/>
                <w:b w:val="0"/>
                <w:bCs w:val="0"/>
                <w:i w:val="0"/>
                <w:iCs w:val="0"/>
                <w:caps w:val="0"/>
                <w:color w:val="404040"/>
                <w:spacing w:val="0"/>
                <w:kern w:val="0"/>
                <w:sz w:val="18"/>
                <w:szCs w:val="18"/>
                <w:lang w:val="en-US" w:eastAsia="zh-CN" w:bidi="ar"/>
              </w:rPr>
              <w:t>→极聚焦；</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0.9</w:t>
            </w:r>
            <w:r>
              <w:rPr>
                <w:rFonts w:hint="eastAsia" w:ascii="宋体" w:hAnsi="宋体" w:eastAsia="宋体" w:cs="宋体"/>
                <w:b w:val="0"/>
                <w:bCs w:val="0"/>
                <w:i w:val="0"/>
                <w:iCs w:val="0"/>
                <w:caps w:val="0"/>
                <w:color w:val="404040"/>
                <w:spacing w:val="0"/>
                <w:kern w:val="0"/>
                <w:sz w:val="18"/>
                <w:szCs w:val="18"/>
                <w:lang w:val="en-US" w:eastAsia="zh-CN" w:bidi="ar"/>
              </w:rPr>
              <w:t>→标准；</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1.0</w:t>
            </w:r>
            <w:r>
              <w:rPr>
                <w:rFonts w:hint="eastAsia" w:ascii="宋体" w:hAnsi="宋体" w:eastAsia="宋体" w:cs="宋体"/>
                <w:b w:val="0"/>
                <w:bCs w:val="0"/>
                <w:i w:val="0"/>
                <w:iCs w:val="0"/>
                <w:caps w:val="0"/>
                <w:color w:val="404040"/>
                <w:spacing w:val="0"/>
                <w:kern w:val="0"/>
                <w:sz w:val="18"/>
                <w:szCs w:val="18"/>
                <w:lang w:val="en-US" w:eastAsia="zh-CN" w:bidi="ar"/>
              </w:rPr>
              <w:t>→完全开放</w:t>
            </w:r>
          </w:p>
        </w:tc>
      </w:tr>
      <w:tr w14:paraId="5544EC0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217" w:type="dxa"/>
            <w:tcBorders>
              <w:left w:val="nil"/>
            </w:tcBorders>
            <w:shd w:val="clear" w:color="auto" w:fill="FFFFFF"/>
            <w:tcMar>
              <w:top w:w="150" w:type="dxa"/>
              <w:left w:w="0" w:type="dxa"/>
              <w:bottom w:w="150" w:type="dxa"/>
              <w:right w:w="150" w:type="dxa"/>
            </w:tcMar>
            <w:vAlign w:val="center"/>
          </w:tcPr>
          <w:p w14:paraId="0DA99059">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Top-k</w:t>
            </w:r>
          </w:p>
        </w:tc>
        <w:tc>
          <w:tcPr>
            <w:tcW w:w="1097" w:type="dxa"/>
            <w:shd w:val="clear" w:color="auto" w:fill="FFFFFF"/>
            <w:tcMar>
              <w:top w:w="150" w:type="dxa"/>
              <w:left w:w="150" w:type="dxa"/>
              <w:bottom w:w="150" w:type="dxa"/>
              <w:right w:w="150" w:type="dxa"/>
            </w:tcMar>
            <w:vAlign w:val="center"/>
          </w:tcPr>
          <w:p w14:paraId="52CE2411">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1→100+</w:t>
            </w:r>
          </w:p>
        </w:tc>
        <w:tc>
          <w:tcPr>
            <w:tcW w:w="2806" w:type="dxa"/>
            <w:shd w:val="clear" w:color="auto" w:fill="FFFFFF"/>
            <w:tcMar>
              <w:top w:w="150" w:type="dxa"/>
              <w:left w:w="150" w:type="dxa"/>
              <w:bottom w:w="150" w:type="dxa"/>
              <w:right w:w="150" w:type="dxa"/>
            </w:tcMar>
            <w:vAlign w:val="center"/>
          </w:tcPr>
          <w:p w14:paraId="6597E7E8">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控制候选词数量</w:t>
            </w:r>
            <w:r>
              <w:rPr>
                <w:rFonts w:hint="eastAsia" w:ascii="宋体" w:hAnsi="宋体" w:eastAsia="宋体" w:cs="宋体"/>
                <w:b w:val="0"/>
                <w:bCs w:val="0"/>
                <w:i w:val="0"/>
                <w:iCs w:val="0"/>
                <w:caps w:val="0"/>
                <w:color w:val="404040"/>
                <w:spacing w:val="0"/>
                <w:kern w:val="0"/>
                <w:sz w:val="18"/>
                <w:szCs w:val="18"/>
                <w:lang w:val="en-US" w:eastAsia="zh-CN" w:bidi="ar"/>
              </w:rPr>
              <w:t>：仅从概率最高的k个词中采样，限制选择范围。</w:t>
            </w:r>
          </w:p>
        </w:tc>
        <w:tc>
          <w:tcPr>
            <w:tcW w:w="1557" w:type="dxa"/>
            <w:shd w:val="clear" w:color="auto" w:fill="FFFFFF"/>
            <w:tcMar>
              <w:top w:w="150" w:type="dxa"/>
              <w:left w:w="150" w:type="dxa"/>
              <w:bottom w:w="150" w:type="dxa"/>
              <w:right w:w="150" w:type="dxa"/>
            </w:tcMar>
            <w:vAlign w:val="center"/>
          </w:tcPr>
          <w:p w14:paraId="6512F0AF">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快速排除低概率词</w:t>
            </w:r>
          </w:p>
        </w:tc>
        <w:tc>
          <w:tcPr>
            <w:tcW w:w="932" w:type="dxa"/>
            <w:shd w:val="clear" w:color="auto" w:fill="FFFFFF"/>
            <w:tcMar>
              <w:top w:w="150" w:type="dxa"/>
              <w:left w:w="150" w:type="dxa"/>
              <w:bottom w:w="150" w:type="dxa"/>
              <w:right w:w="150" w:type="dxa"/>
            </w:tcMar>
            <w:vAlign w:val="center"/>
          </w:tcPr>
          <w:p w14:paraId="0204C3B7">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50</w:t>
            </w:r>
          </w:p>
        </w:tc>
        <w:tc>
          <w:tcPr>
            <w:tcW w:w="2117" w:type="dxa"/>
            <w:tcBorders>
              <w:right w:val="nil"/>
            </w:tcBorders>
            <w:shd w:val="clear" w:color="auto" w:fill="FFFFFF"/>
            <w:tcMar>
              <w:top w:w="150" w:type="dxa"/>
              <w:left w:w="150" w:type="dxa"/>
              <w:bottom w:w="150" w:type="dxa"/>
              <w:right w:w="150" w:type="dxa"/>
            </w:tcMar>
            <w:vAlign w:val="center"/>
          </w:tcPr>
          <w:p w14:paraId="0F428254">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10</w:t>
            </w:r>
            <w:r>
              <w:rPr>
                <w:rFonts w:hint="eastAsia" w:ascii="宋体" w:hAnsi="宋体" w:eastAsia="宋体" w:cs="宋体"/>
                <w:b w:val="0"/>
                <w:bCs w:val="0"/>
                <w:i w:val="0"/>
                <w:iCs w:val="0"/>
                <w:caps w:val="0"/>
                <w:color w:val="404040"/>
                <w:spacing w:val="0"/>
                <w:kern w:val="0"/>
                <w:sz w:val="18"/>
                <w:szCs w:val="18"/>
                <w:lang w:val="en-US" w:eastAsia="zh-CN" w:bidi="ar"/>
              </w:rPr>
              <w:t>→强限制；</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50</w:t>
            </w:r>
            <w:r>
              <w:rPr>
                <w:rFonts w:hint="eastAsia" w:ascii="宋体" w:hAnsi="宋体" w:eastAsia="宋体" w:cs="宋体"/>
                <w:b w:val="0"/>
                <w:bCs w:val="0"/>
                <w:i w:val="0"/>
                <w:iCs w:val="0"/>
                <w:caps w:val="0"/>
                <w:color w:val="404040"/>
                <w:spacing w:val="0"/>
                <w:kern w:val="0"/>
                <w:sz w:val="18"/>
                <w:szCs w:val="18"/>
                <w:lang w:val="en-US" w:eastAsia="zh-CN" w:bidi="ar"/>
              </w:rPr>
              <w:t>→通用；</w:t>
            </w:r>
            <w:r>
              <w:rPr>
                <w:rStyle w:val="19"/>
                <w:rFonts w:hint="eastAsia" w:ascii="宋体" w:hAnsi="宋体" w:eastAsia="宋体" w:cs="宋体"/>
                <w:b w:val="0"/>
                <w:bCs w:val="0"/>
                <w:i w:val="0"/>
                <w:iCs w:val="0"/>
                <w:caps w:val="0"/>
                <w:color w:val="404040"/>
                <w:spacing w:val="0"/>
                <w:kern w:val="0"/>
                <w:sz w:val="18"/>
                <w:szCs w:val="18"/>
                <w:shd w:val="clear" w:fill="ECECEC"/>
                <w:lang w:val="en-US" w:eastAsia="zh-CN" w:bidi="ar"/>
              </w:rPr>
              <w:t>100</w:t>
            </w:r>
            <w:r>
              <w:rPr>
                <w:rFonts w:hint="eastAsia" w:ascii="宋体" w:hAnsi="宋体" w:eastAsia="宋体" w:cs="宋体"/>
                <w:b w:val="0"/>
                <w:bCs w:val="0"/>
                <w:i w:val="0"/>
                <w:iCs w:val="0"/>
                <w:caps w:val="0"/>
                <w:color w:val="404040"/>
                <w:spacing w:val="0"/>
                <w:kern w:val="0"/>
                <w:sz w:val="18"/>
                <w:szCs w:val="18"/>
                <w:lang w:val="en-US" w:eastAsia="zh-CN" w:bidi="ar"/>
              </w:rPr>
              <w:t>→宽松</w:t>
            </w:r>
          </w:p>
        </w:tc>
      </w:tr>
      <w:tr w14:paraId="10CA1A7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90" w:hRule="atLeast"/>
        </w:trPr>
        <w:tc>
          <w:tcPr>
            <w:tcW w:w="1217" w:type="dxa"/>
            <w:tcBorders>
              <w:left w:val="nil"/>
            </w:tcBorders>
            <w:shd w:val="clear" w:color="auto" w:fill="FFFFFF"/>
            <w:tcMar>
              <w:top w:w="150" w:type="dxa"/>
              <w:left w:w="0" w:type="dxa"/>
              <w:bottom w:w="150" w:type="dxa"/>
              <w:right w:w="150" w:type="dxa"/>
            </w:tcMar>
            <w:vAlign w:val="center"/>
          </w:tcPr>
          <w:p w14:paraId="74B300E8">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MaxLength</w:t>
            </w:r>
          </w:p>
        </w:tc>
        <w:tc>
          <w:tcPr>
            <w:tcW w:w="1097" w:type="dxa"/>
            <w:shd w:val="clear" w:color="auto" w:fill="FFFFFF"/>
            <w:tcMar>
              <w:top w:w="150" w:type="dxa"/>
              <w:left w:w="150" w:type="dxa"/>
              <w:bottom w:w="150" w:type="dxa"/>
              <w:right w:w="150" w:type="dxa"/>
            </w:tcMar>
            <w:vAlign w:val="center"/>
          </w:tcPr>
          <w:p w14:paraId="51CD7AEE">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10→ 4096+</w:t>
            </w:r>
          </w:p>
        </w:tc>
        <w:tc>
          <w:tcPr>
            <w:tcW w:w="2806" w:type="dxa"/>
            <w:shd w:val="clear" w:color="auto" w:fill="FFFFFF"/>
            <w:tcMar>
              <w:top w:w="150" w:type="dxa"/>
              <w:left w:w="150" w:type="dxa"/>
              <w:bottom w:w="150" w:type="dxa"/>
              <w:right w:w="150" w:type="dxa"/>
            </w:tcMar>
            <w:vAlign w:val="center"/>
          </w:tcPr>
          <w:p w14:paraId="344417B6">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Style w:val="16"/>
                <w:rFonts w:hint="eastAsia" w:ascii="宋体" w:hAnsi="宋体" w:eastAsia="宋体" w:cs="宋体"/>
                <w:b w:val="0"/>
                <w:bCs w:val="0"/>
                <w:i w:val="0"/>
                <w:iCs w:val="0"/>
                <w:caps w:val="0"/>
                <w:color w:val="404040"/>
                <w:spacing w:val="0"/>
                <w:kern w:val="0"/>
                <w:sz w:val="18"/>
                <w:szCs w:val="18"/>
                <w:lang w:val="en-US" w:eastAsia="zh-CN" w:bidi="ar"/>
              </w:rPr>
              <w:t>控制生成文本的最大长度（Token数）</w:t>
            </w:r>
          </w:p>
        </w:tc>
        <w:tc>
          <w:tcPr>
            <w:tcW w:w="1557" w:type="dxa"/>
            <w:shd w:val="clear" w:color="auto" w:fill="FFFFFF"/>
            <w:tcMar>
              <w:top w:w="150" w:type="dxa"/>
              <w:left w:w="150" w:type="dxa"/>
              <w:bottom w:w="150" w:type="dxa"/>
              <w:right w:w="150" w:type="dxa"/>
            </w:tcMar>
            <w:vAlign w:val="center"/>
          </w:tcPr>
          <w:p w14:paraId="31BFE35D">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限制生成长度避免冗长</w:t>
            </w:r>
          </w:p>
        </w:tc>
        <w:tc>
          <w:tcPr>
            <w:tcW w:w="932" w:type="dxa"/>
            <w:shd w:val="clear" w:color="auto" w:fill="FFFFFF"/>
            <w:tcMar>
              <w:top w:w="150" w:type="dxa"/>
              <w:left w:w="150" w:type="dxa"/>
              <w:bottom w:w="150" w:type="dxa"/>
              <w:right w:w="150" w:type="dxa"/>
            </w:tcMar>
            <w:vAlign w:val="center"/>
          </w:tcPr>
          <w:p w14:paraId="27665F53">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512</w:t>
            </w:r>
          </w:p>
        </w:tc>
        <w:tc>
          <w:tcPr>
            <w:tcW w:w="2117" w:type="dxa"/>
            <w:tcBorders>
              <w:right w:val="nil"/>
            </w:tcBorders>
            <w:shd w:val="clear" w:color="auto" w:fill="FFFFFF"/>
            <w:tcMar>
              <w:top w:w="150" w:type="dxa"/>
              <w:left w:w="150" w:type="dxa"/>
              <w:bottom w:w="150" w:type="dxa"/>
              <w:right w:w="150" w:type="dxa"/>
            </w:tcMar>
            <w:vAlign w:val="center"/>
          </w:tcPr>
          <w:p w14:paraId="4788FC3C">
            <w:pPr>
              <w:keepNext w:val="0"/>
              <w:keepLines w:val="0"/>
              <w:pageBreakBefore w:val="0"/>
              <w:widowControl/>
              <w:suppressLineNumbers w:val="0"/>
              <w:kinsoku/>
              <w:wordWrap/>
              <w:overflowPunct/>
              <w:topLinePunct w:val="0"/>
              <w:autoSpaceDE/>
              <w:autoSpaceDN/>
              <w:bidi w:val="0"/>
              <w:adjustRightInd w:val="0"/>
              <w:snapToGrid w:val="0"/>
              <w:spacing w:line="240" w:lineRule="auto"/>
              <w:ind w:firstLine="0" w:firstLineChars="0"/>
              <w:jc w:val="left"/>
              <w:textAlignment w:val="auto"/>
              <w:rPr>
                <w:rFonts w:hint="eastAsia" w:ascii="宋体" w:hAnsi="宋体" w:eastAsia="宋体" w:cs="宋体"/>
                <w:b w:val="0"/>
                <w:bCs w:val="0"/>
                <w:i w:val="0"/>
                <w:iCs w:val="0"/>
                <w:caps w:val="0"/>
                <w:color w:val="404040"/>
                <w:spacing w:val="0"/>
                <w:sz w:val="18"/>
                <w:szCs w:val="18"/>
              </w:rPr>
            </w:pPr>
            <w:r>
              <w:rPr>
                <w:rFonts w:hint="eastAsia" w:ascii="宋体" w:hAnsi="宋体" w:eastAsia="宋体" w:cs="宋体"/>
                <w:b w:val="0"/>
                <w:bCs w:val="0"/>
                <w:i w:val="0"/>
                <w:iCs w:val="0"/>
                <w:caps w:val="0"/>
                <w:color w:val="404040"/>
                <w:spacing w:val="0"/>
                <w:kern w:val="0"/>
                <w:sz w:val="18"/>
                <w:szCs w:val="18"/>
                <w:lang w:val="en-US" w:eastAsia="zh-CN" w:bidi="ar"/>
              </w:rPr>
              <w:t>根据实际需求调整（如摘要设200，长文设1000）</w:t>
            </w:r>
          </w:p>
        </w:tc>
      </w:tr>
    </w:tbl>
    <w:p w14:paraId="15FD0D23">
      <w:pPr>
        <w:keepNext w:val="0"/>
        <w:keepLines w:val="0"/>
        <w:pageBreakBefore w:val="0"/>
        <w:widowControl w:val="0"/>
        <w:kinsoku/>
        <w:wordWrap/>
        <w:overflowPunct/>
        <w:topLinePunct w:val="0"/>
        <w:autoSpaceDE/>
        <w:autoSpaceDN/>
        <w:bidi w:val="0"/>
        <w:adjustRightInd w:val="0"/>
        <w:snapToGrid w:val="0"/>
        <w:ind w:left="0" w:leftChars="0" w:firstLine="420" w:firstLineChars="200"/>
        <w:textAlignment w:val="auto"/>
        <w:rPr>
          <w:rFonts w:hint="eastAsia"/>
          <w:lang w:val="en-US" w:eastAsia="zh-CN"/>
        </w:rPr>
      </w:pPr>
    </w:p>
    <w:p w14:paraId="3E6B503A">
      <w:pPr>
        <w:keepNext w:val="0"/>
        <w:keepLines w:val="0"/>
        <w:pageBreakBefore w:val="0"/>
        <w:widowControl w:val="0"/>
        <w:kinsoku/>
        <w:wordWrap/>
        <w:overflowPunct/>
        <w:topLinePunct w:val="0"/>
        <w:autoSpaceDE/>
        <w:autoSpaceDN/>
        <w:bidi w:val="0"/>
        <w:adjustRightInd w:val="0"/>
        <w:snapToGrid w:val="0"/>
        <w:ind w:left="0" w:leftChars="0" w:firstLine="420" w:firstLineChars="200"/>
        <w:textAlignment w:val="auto"/>
        <w:rPr>
          <w:rFonts w:hint="default"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此外，还有些不常用的大模型参数，有兴趣的读者可在本书电子版进一步学习探索。</w:t>
      </w:r>
      <w:r>
        <w:rPr>
          <w:rFonts w:hint="eastAsia"/>
          <w:lang w:val="en-US" w:eastAsia="zh-CN"/>
        </w:rPr>
        <w:t xml:space="preserve">  </w:t>
      </w:r>
    </w:p>
    <w:p w14:paraId="59C9DA37">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1.4.3  </w:t>
      </w:r>
      <w:r>
        <w:rPr>
          <w:rFonts w:hint="eastAsia" w:ascii="Arial" w:hAnsi="Arial"/>
          <w:lang w:val="en-US" w:eastAsia="zh-CN"/>
        </w:rPr>
        <w:t>参考资料：好内容才能产生好答案</w:t>
      </w:r>
    </w:p>
    <w:p w14:paraId="373E446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参考资料对于AIGC回馈优质内容而言意义重大，优质参考资料的核心筛选原则主要有：</w:t>
      </w:r>
    </w:p>
    <w:p w14:paraId="599DC0C1">
      <w:pPr>
        <w:widowControl w:val="0"/>
        <w:numPr>
          <w:ilvl w:val="0"/>
          <w:numId w:val="2"/>
        </w:numPr>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权威性与可信度：优先选择权威信源如政府机构报告、行业协会白皮书、顶刊论文、知名智库数据等。避免使用低可信度的内容，如自媒体非原创文章、论坛讨论帖、未经验证的博客等可能存在事实偏差或观点偏见。</w:t>
      </w:r>
    </w:p>
    <w:p w14:paraId="6ADBAE19">
      <w:pPr>
        <w:widowControl w:val="0"/>
        <w:numPr>
          <w:ilvl w:val="0"/>
          <w:numId w:val="2"/>
        </w:numPr>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相关性与针对性：需要主题强关联，如生成“新能源汽车电池技术及市场分析”内容时，需匹配电池材料专业研究论文、车企技术白皮书，而非泛泛的能源行业报告。还需要场景适配，如营销文案参考资料需包含消费者调研数据，而学术论文则侧重核心期刊文献。</w:t>
      </w:r>
    </w:p>
    <w:p w14:paraId="2864FD8D">
      <w:pPr>
        <w:widowControl w:val="0"/>
        <w:numPr>
          <w:ilvl w:val="0"/>
          <w:numId w:val="2"/>
        </w:numPr>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时效性与完整性：动态更新资料如财经数据则需引用最新的报告、论文和研究成果。结构化整合则是要避免碎片化信息，例如构建“行业政策+技术标准+市场数据”的多维参考资料。</w:t>
      </w:r>
    </w:p>
    <w:p w14:paraId="783A5092">
      <w:pPr>
        <w:keepNext w:val="0"/>
        <w:keepLines w:val="0"/>
        <w:pageBreakBefore w:val="0"/>
        <w:widowControl w:val="0"/>
        <w:numPr>
          <w:ilvl w:val="0"/>
          <w:numId w:val="0"/>
        </w:numPr>
        <w:kinsoku/>
        <w:wordWrap/>
        <w:overflowPunct/>
        <w:topLinePunct w:val="0"/>
        <w:autoSpaceDE/>
        <w:autoSpaceDN/>
        <w:bidi w:val="0"/>
        <w:adjustRightInd/>
        <w:snapToGrid w:val="0"/>
        <w:spacing w:line="332" w:lineRule="atLeast"/>
        <w:ind w:firstLine="420" w:firstLineChars="20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对于参考资料数量较多的项目，还可以采用预处理来提升AI对参考资料利用效率，主要的方法有去重与降噪如剔除重复文献、过滤水印内容，修复OCR识别错误，格式统一如PDF、Word、网页内容转为纯文本或Markdown格式。我们推荐各位读者学习MarkDown语法来进行日常写作和笔记工作，一方面，语法简单效率，文件体积小。另一方面，AI对MD格式的文件更易于理解且正在逐步成为AI领域各类文本文档中的最优格式之一。</w:t>
      </w:r>
    </w:p>
    <w:p w14:paraId="59C32D48">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1.4.4  </w:t>
      </w:r>
      <w:r>
        <w:rPr>
          <w:rFonts w:hint="eastAsia" w:ascii="Arial" w:hAnsi="Arial"/>
          <w:lang w:val="en-US" w:eastAsia="zh-CN"/>
        </w:rPr>
        <w:t>追问优化：构建“需求</w:t>
      </w:r>
      <w:r>
        <w:rPr>
          <w:rFonts w:hint="eastAsia"/>
          <w:lang w:val="en-US" w:eastAsia="zh-CN"/>
        </w:rPr>
        <w:t>－</w:t>
      </w:r>
      <w:r>
        <w:rPr>
          <w:rFonts w:hint="eastAsia" w:ascii="Arial" w:hAnsi="Arial"/>
          <w:lang w:val="en-US" w:eastAsia="zh-CN"/>
        </w:rPr>
        <w:t>反馈”迭代优化闭环</w:t>
      </w:r>
    </w:p>
    <w:p w14:paraId="0F25D502">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追问优化是在与AI的多轮交互中，通过有针对性的后续提问，逐步修正、细化初始需求，使生成内容从“模糊匹配”走向“精准符合”的过程，其核心是利用AI的响应作为反馈信号，动态调整提示词的策略。</w:t>
      </w:r>
    </w:p>
    <w:p w14:paraId="1CE4AC16">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内容优化的追问策略建议：</w:t>
      </w:r>
    </w:p>
    <w:p w14:paraId="1AA8E6A6">
      <w:pPr>
        <w:widowControl w:val="0"/>
        <w:numPr>
          <w:ilvl w:val="0"/>
          <w:numId w:val="3"/>
        </w:numPr>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信息补全类追问</w:t>
      </w:r>
    </w:p>
    <w:p w14:paraId="2D9989D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缺失要素定位公式：What（缺少什么）+Why（为何重要）+How（如何补充）</w:t>
      </w:r>
    </w:p>
    <w:p w14:paraId="4271707A">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初始输出：“AI在教育的应用：智能备课、个性化学习”</w:t>
      </w:r>
    </w:p>
    <w:p w14:paraId="7B0D3794">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追问：“缺少2024年政策支持数据，请补充并说明其对应用落地的影响”</w:t>
      </w:r>
    </w:p>
    <w:p w14:paraId="66ED6EA0">
      <w:pPr>
        <w:widowControl w:val="0"/>
        <w:numPr>
          <w:ilvl w:val="0"/>
          <w:numId w:val="3"/>
        </w:numPr>
        <w:adjustRightInd/>
        <w:spacing w:line="332" w:lineRule="atLeast"/>
        <w:ind w:left="0" w:leftChars="0" w:firstLine="420" w:firstLineChars="20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逻辑强化类追问</w:t>
      </w:r>
    </w:p>
    <w:p w14:paraId="0752187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因果链构建技巧：</w:t>
      </w:r>
    </w:p>
    <w:p w14:paraId="55A7A6A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正向追问：“为什么这个方案能提升转化率？请用数据模型推导”；</w:t>
      </w:r>
    </w:p>
    <w:p w14:paraId="70585EBD">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反向追问：“如果用户反馈价格过高，方案应如何调整？”。</w:t>
      </w:r>
    </w:p>
    <w:p w14:paraId="1DB94EC9">
      <w:pPr>
        <w:widowControl w:val="0"/>
        <w:numPr>
          <w:ilvl w:val="0"/>
          <w:numId w:val="3"/>
        </w:numPr>
        <w:adjustRightInd/>
        <w:spacing w:line="332" w:lineRule="atLeast"/>
        <w:ind w:left="0" w:leftChars="0" w:firstLine="420" w:firstLineChars="20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批判性优化追问</w:t>
      </w:r>
    </w:p>
    <w:p w14:paraId="2A51304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事实层面：“这个数据的来源是否权威？是否有2025年最新统计？”</w:t>
      </w:r>
    </w:p>
    <w:p w14:paraId="0087FEE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逻辑层面：“前后观点是否存在矛盾？请用流程图展示论证逻辑”</w:t>
      </w:r>
    </w:p>
    <w:p w14:paraId="5099514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伦理层面：“方案是否存在用户隐私风险？请出具合规性评估”</w:t>
      </w:r>
    </w:p>
    <w:p w14:paraId="2CE8143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对AI的追问能力目前已成为使用AI的核心数字素养之一，它不是简单地“问更多问题”，而是通过系统化的反馈机制，将人类的隐性需求转化为AI可执行的显性指令。在AIGC爆发的今天，掌握追问工程的本质能让AI从“内容生产者”升级为“认知协作者”，最终实现人机智能的深度耦合。</w:t>
      </w:r>
    </w:p>
    <w:p w14:paraId="6052FCFC">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1.4.5  </w:t>
      </w:r>
      <w:r>
        <w:rPr>
          <w:rFonts w:hint="eastAsia" w:ascii="Arial" w:hAnsi="Arial"/>
          <w:lang w:val="en-US" w:eastAsia="zh-CN"/>
        </w:rPr>
        <w:t>深度思考模式</w:t>
      </w:r>
    </w:p>
    <w:p w14:paraId="797D03F2">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AI的深度思考是人工智能技术对人类思维模式的功能性模拟，其核心价值在于通过算法与数据的结合，突破处理复杂问题的效率与认知边界，在某些维度上也可被视为AI根据人类简单提示词来丰富和优化提示词的过程。所谓的“深度思考”实质是通过多步骤信息处理机制，将复杂问题拆解为可计算的子任务来逐步逼近答案。克服传统单次生成的局限性，提升逻辑性、准确性和解释性。但AI目前仍是工具而非智能主体——人类需在理解其技术本质的基础上，合理引导AI深度思考的应用方向，使其成为科学探索、产业升级与社会进步的助力，而非替代人类核心认知能力的存在。</w:t>
      </w:r>
    </w:p>
    <w:p w14:paraId="761EEA2C">
      <w:pPr>
        <w:widowControl w:val="0"/>
        <w:adjustRightInd/>
        <w:spacing w:line="332" w:lineRule="atLeast"/>
        <w:ind w:firstLine="420"/>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时至今日，各主流AI平台基本均已集成了提示词自动调优的插件，可基于历史数据推荐最优参数组合，但作为教研场景的高阶用户，我们仍然建议大家能够手工优化提示词，对AI进行更精准的指令和约束。</w:t>
      </w:r>
    </w:p>
    <w:p w14:paraId="2C2A3C0A">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1.4.6  </w:t>
      </w:r>
      <w:r>
        <w:rPr>
          <w:rFonts w:hint="eastAsia" w:ascii="Arial" w:hAnsi="Arial"/>
          <w:lang w:val="en-US" w:eastAsia="zh-CN"/>
        </w:rPr>
        <w:t>AI交叉验证</w:t>
      </w:r>
    </w:p>
    <w:p w14:paraId="4718C4BD">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交叉验证是通过使用多个不同的人工智能模型对同一问题进行处理，然后对比、综合分析各模型输出的结果，以提高结果准确性、可靠性，降低AI幻觉等风险的可靠方法。因为不同的AI模型由于训练数据、算法结构和优化目标等方面存在差异，对同一问题的理解和处理方式也会不同。通过将问题提交给多个模型，利用它们之间的差异和互补性，相互印证和补充，从而更全面地了解问题，减少因单个模型的局限性或偏差导致的错误。</w:t>
      </w:r>
    </w:p>
    <w:p w14:paraId="4FED715C">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通过AI交叉验证可以提高结果准确性，有效减少单个模型可能出现的错误或偏差，当多个AI模型都得出相似的结果时，该结果的可信度就会大大提高。同时，能够最大限度地降低AI幻觉，AI幻觉是指模型生成的内容与事实不符或答非所问的情况。通过多模型交叉验证，若某个AI模型产生幻觉，而其他AI模型结果正常，就可以发现该问题，避免被AI误导。</w:t>
      </w:r>
    </w:p>
    <w:p w14:paraId="56321BD7">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AI交叉验证的主要方法有两种，一是直接对比法，是将同一个问题分别输入到多个不同的AI模型中，如豆包、Kimi、文心一言等，然后直接对比各个模型的输出结果。若结果一致或相似，则可认为该结果具有较高可信度；若结果差异较大，则需要进一步分析每个模型的依据和推理过程，找出差异原因。二是接力验证法，先用一个AI模型生成答案再将该答案作为输入，提交给其他AI模型进行审查或验证。例如，利用DeepSeek生成答案后，再把答案喂给豆包或Qwen，验证其真实性与合理性。</w:t>
      </w:r>
    </w:p>
    <w:p w14:paraId="0E688E8F">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每个AI模型的特点、能力及擅长的内容均有差异，普通用户在单一使用中进行对比和筛选的成本较高，在进行交叉验证的过程中需要来回切换页面，操作不便。目前也有多种产品提供了AI群聊问答的功能，如图4-5、图4-6所示，集成各家AI大模型，支持配置多个AI引擎，能够实现多个AI同时参与对话、一问多答、同屏甄别并且支持上传参考文件，降低AI幻觉，提高回答准确度。</w:t>
      </w:r>
    </w:p>
    <w:p w14:paraId="3EA8D5A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tbl>
      <w:tblPr>
        <w:tblStyle w:val="14"/>
        <w:tblW w:w="1013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1"/>
        <w:gridCol w:w="5478"/>
      </w:tblGrid>
      <w:tr w14:paraId="709843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8" w:hRule="atLeast"/>
          <w:jc w:val="center"/>
        </w:trPr>
        <w:tc>
          <w:tcPr>
            <w:tcW w:w="4661" w:type="dxa"/>
          </w:tcPr>
          <w:p w14:paraId="32BE3739">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sz w:val="18"/>
                <w:szCs w:val="18"/>
                <w:lang w:eastAsia="zh-CN"/>
              </w:rPr>
            </w:pPr>
            <w:r>
              <w:rPr>
                <w:rFonts w:hint="eastAsia" w:eastAsiaTheme="minorEastAsia"/>
                <w:sz w:val="18"/>
                <w:szCs w:val="18"/>
                <w:lang w:eastAsia="zh-CN"/>
              </w:rPr>
              <w:drawing>
                <wp:inline distT="0" distB="0" distL="114300" distR="114300">
                  <wp:extent cx="2658745" cy="3164840"/>
                  <wp:effectExtent l="0" t="0" r="7620" b="8890"/>
                  <wp:docPr id="1" name="图片 1" descr="机器人群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机器人群聊"/>
                          <pic:cNvPicPr>
                            <a:picLocks noChangeAspect="1"/>
                          </pic:cNvPicPr>
                        </pic:nvPicPr>
                        <pic:blipFill>
                          <a:blip r:embed="rId11"/>
                          <a:stretch>
                            <a:fillRect/>
                          </a:stretch>
                        </pic:blipFill>
                        <pic:spPr>
                          <a:xfrm>
                            <a:off x="0" y="0"/>
                            <a:ext cx="2658745" cy="3164840"/>
                          </a:xfrm>
                          <a:prstGeom prst="rect">
                            <a:avLst/>
                          </a:prstGeom>
                        </pic:spPr>
                      </pic:pic>
                    </a:graphicData>
                  </a:graphic>
                </wp:inline>
              </w:drawing>
            </w:r>
          </w:p>
          <w:p w14:paraId="1C0A7239">
            <w:pPr>
              <w:pStyle w:val="8"/>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default" w:eastAsia="黑体"/>
                <w:sz w:val="18"/>
                <w:szCs w:val="18"/>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5 botgroup.chat</w:t>
            </w:r>
          </w:p>
        </w:tc>
        <w:tc>
          <w:tcPr>
            <w:tcW w:w="5478" w:type="dxa"/>
          </w:tcPr>
          <w:p w14:paraId="4C80252B">
            <w:pPr>
              <w:pStyle w:val="8"/>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3488055" cy="3158490"/>
                  <wp:effectExtent l="0" t="0" r="9525" b="4445"/>
                  <wp:docPr id="2" name="图片 2" descr="AI魔方AI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I魔方AI群"/>
                          <pic:cNvPicPr>
                            <a:picLocks noChangeAspect="1"/>
                          </pic:cNvPicPr>
                        </pic:nvPicPr>
                        <pic:blipFill>
                          <a:blip r:embed="rId12"/>
                          <a:stretch>
                            <a:fillRect/>
                          </a:stretch>
                        </pic:blipFill>
                        <pic:spPr>
                          <a:xfrm>
                            <a:off x="0" y="0"/>
                            <a:ext cx="3488055" cy="3158490"/>
                          </a:xfrm>
                          <a:prstGeom prst="rect">
                            <a:avLst/>
                          </a:prstGeom>
                        </pic:spPr>
                      </pic:pic>
                    </a:graphicData>
                  </a:graphic>
                </wp:inline>
              </w:drawing>
            </w:r>
          </w:p>
          <w:p w14:paraId="47C24A68">
            <w:pPr>
              <w:ind w:left="0" w:leftChars="0" w:firstLine="0" w:firstLineChars="0"/>
              <w:jc w:val="center"/>
              <w:rPr>
                <w:rFonts w:hint="default"/>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6 AI群功能界面——AI魔方</w:t>
            </w:r>
          </w:p>
        </w:tc>
      </w:tr>
    </w:tbl>
    <w:p w14:paraId="679DFDFA">
      <w:pPr>
        <w:pStyle w:val="24"/>
        <w:numPr>
          <w:ilvl w:val="0"/>
          <w:numId w:val="0"/>
        </w:numPr>
        <w:bidi w:val="0"/>
        <w:ind w:leftChars="0"/>
        <w:rPr>
          <w:rFonts w:hint="eastAsia" w:eastAsia="楷体_GB2312"/>
          <w:lang w:val="en-US" w:eastAsia="zh-CN"/>
        </w:rPr>
      </w:pPr>
      <w:r>
        <w:rPr>
          <w:rFonts w:hint="eastAsia"/>
          <w:lang w:val="en-US" w:eastAsia="zh-CN"/>
        </w:rPr>
        <w:t>1.5</w:t>
      </w:r>
      <w:r>
        <w:rPr>
          <w:lang w:val="en-US" w:eastAsia="zh-CN"/>
        </w:rPr>
        <w:t xml:space="preserve">  </w:t>
      </w:r>
      <w:r>
        <w:rPr>
          <w:rFonts w:hint="eastAsia" w:eastAsia="楷体_GB2312"/>
          <w:lang w:val="en-US" w:eastAsia="zh-CN"/>
        </w:rPr>
        <w:t>AIGC文生文工具的分类介绍</w:t>
      </w:r>
    </w:p>
    <w:p w14:paraId="31EDD4CF">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1.5.1  </w:t>
      </w:r>
      <w:r>
        <w:rPr>
          <w:rFonts w:hint="eastAsia" w:ascii="Arial" w:hAnsi="Arial"/>
          <w:lang w:val="en-US" w:eastAsia="zh-CN"/>
        </w:rPr>
        <w:t>长生短与短生长</w:t>
      </w:r>
    </w:p>
    <w:p w14:paraId="2314664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AI文生文根据人类与AI之间交互输入输出文字的多少可以分为“长生短”和“短生长”两种类型。</w:t>
      </w:r>
    </w:p>
    <w:p w14:paraId="50EE6250">
      <w:pPr>
        <w:widowControl w:val="0"/>
        <w:adjustRightInd/>
        <w:spacing w:line="332" w:lineRule="atLeast"/>
        <w:ind w:firstLine="420"/>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长生短”指用户提供篇幅较长、内容较丰富的原文，要求AI模型提炼、总结、压缩其核心信息，生成简短、精炼的文本以便快速阅读。现有AI模型产品在长文提炼核心方面的能力也在不断进化，已有多家产品能够提供长文识别、章节凝练、生成脑图等功能，在准确度方面也有较大提升。其实现主要是通过长文切片技术，“长文切片”是AI处理文本内容的关键技术，是将长篇文本分割为语义完整的短片段，解决大模型处理长文本时的效率瓶颈与信息断层问题。主流大模型的单次执行默认处理长度约8000字，长文切片通过算法将超过模型处理上限的长文本分割为500至2000字的语义单元，每个切片包含完整的上下文逻辑，便于AI模型高效处理，同时结合RAG技术、Graph知识图谱技术来调用专用知识库补充背景信息，能有效避免生成内容的碎片化。</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76"/>
      </w:tblGrid>
      <w:tr w14:paraId="3B4D2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tcPr>
          <w:p w14:paraId="485EC959">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6132195" cy="1300480"/>
                  <wp:effectExtent l="0" t="0" r="1905" b="13970"/>
                  <wp:docPr id="25" name="图片 25" descr="1-7上传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上传文件"/>
                          <pic:cNvPicPr>
                            <a:picLocks noChangeAspect="1"/>
                          </pic:cNvPicPr>
                        </pic:nvPicPr>
                        <pic:blipFill>
                          <a:blip r:embed="rId13"/>
                          <a:stretch>
                            <a:fillRect/>
                          </a:stretch>
                        </pic:blipFill>
                        <pic:spPr>
                          <a:xfrm>
                            <a:off x="0" y="0"/>
                            <a:ext cx="6132195" cy="1300480"/>
                          </a:xfrm>
                          <a:prstGeom prst="rect">
                            <a:avLst/>
                          </a:prstGeom>
                        </pic:spPr>
                      </pic:pic>
                    </a:graphicData>
                  </a:graphic>
                </wp:inline>
              </w:drawing>
            </w:r>
          </w:p>
          <w:p w14:paraId="4D47397D">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7 AI长生短（上传文件、图片或代码）界面——豆包浏览器</w:t>
            </w:r>
          </w:p>
        </w:tc>
      </w:tr>
    </w:tbl>
    <w:p w14:paraId="5F763973">
      <w:pPr>
        <w:ind w:left="0" w:leftChars="0" w:firstLine="0" w:firstLineChars="0"/>
        <w:rPr>
          <w:rFonts w:hint="eastAsia" w:ascii="宋体" w:hAnsi="宋体" w:eastAsia="宋体" w:cs="宋体"/>
          <w:i w:val="0"/>
          <w:iCs w:val="0"/>
          <w:caps w:val="0"/>
          <w:spacing w:val="0"/>
          <w:kern w:val="0"/>
          <w:sz w:val="21"/>
          <w:szCs w:val="21"/>
          <w:shd w:val="clear" w:fill="FFFFFF"/>
          <w:lang w:val="en-US" w:eastAsia="zh-CN" w:bidi="ar"/>
        </w:rPr>
      </w:pPr>
    </w:p>
    <w:p w14:paraId="5DF28195">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短生长”即用户提供相对简短的提示词，要求AI模型生成篇幅较长、内容更丰富、结构更完整的文本。长文生成的功能，受制于最大输出token的成本问题，对于超长文本的生成场景，现有AI产品往往提供多次生成的方式，也可人工根据章节分段设定提示词和参考资料来生成，更有利于控制生成的内容质量。</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76"/>
      </w:tblGrid>
      <w:tr w14:paraId="69326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tcPr>
          <w:p w14:paraId="1DA077A8">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6191250" cy="2704465"/>
                  <wp:effectExtent l="0" t="0" r="5080" b="5080"/>
                  <wp:docPr id="26" name="图片 26" descr="1-8写作参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8写作参考"/>
                          <pic:cNvPicPr>
                            <a:picLocks noChangeAspect="1"/>
                          </pic:cNvPicPr>
                        </pic:nvPicPr>
                        <pic:blipFill>
                          <a:blip r:embed="rId14"/>
                          <a:stretch>
                            <a:fillRect/>
                          </a:stretch>
                        </pic:blipFill>
                        <pic:spPr>
                          <a:xfrm>
                            <a:off x="0" y="0"/>
                            <a:ext cx="6191250" cy="2704465"/>
                          </a:xfrm>
                          <a:prstGeom prst="rect">
                            <a:avLst/>
                          </a:prstGeom>
                        </pic:spPr>
                      </pic:pic>
                    </a:graphicData>
                  </a:graphic>
                </wp:inline>
              </w:drawing>
            </w:r>
          </w:p>
          <w:p w14:paraId="658AFB05">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8 AI短生长（章节独立提示词并指定参考段落供多AI同时写作）界面——AI魔方</w:t>
            </w:r>
          </w:p>
        </w:tc>
      </w:tr>
    </w:tbl>
    <w:p w14:paraId="526E2E56">
      <w:pPr>
        <w:ind w:left="0" w:leftChars="0" w:firstLine="0" w:firstLineChars="0"/>
        <w:jc w:val="both"/>
        <w:rPr>
          <w:rFonts w:hint="eastAsia" w:ascii="宋体" w:hAnsi="宋体" w:eastAsia="宋体" w:cs="宋体"/>
          <w:i w:val="0"/>
          <w:iCs w:val="0"/>
          <w:caps w:val="0"/>
          <w:spacing w:val="0"/>
          <w:kern w:val="0"/>
          <w:sz w:val="21"/>
          <w:szCs w:val="21"/>
          <w:highlight w:val="yellow"/>
          <w:shd w:val="clear" w:fill="FFFFFF"/>
          <w:lang w:val="en-US" w:eastAsia="zh-CN" w:bidi="ar"/>
        </w:rPr>
      </w:pPr>
    </w:p>
    <w:p w14:paraId="57DFBF61">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检索增强生成RAG(Retrieval-Augmented Generation）能有效提升传统语言模型在生成内容时可能出现信息不准确、缺乏特定领域知识等问题。RAG引入检索机制，从大规模文本数据或知识库中检索相关信息并融入生成过程，使生成的内容更准确、丰富和有针对性，RAG搜索的基本流程如图5-3所示。</w:t>
      </w:r>
    </w:p>
    <w:p w14:paraId="0CCC5530">
      <w:pPr>
        <w:widowControl w:val="0"/>
        <w:adjustRightInd/>
        <w:spacing w:line="332" w:lineRule="atLeast"/>
        <w:ind w:firstLine="420"/>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GraphRAG是RAG的进阶版，是知识图谱（Knowledge Graph）和大语言模型RAG技术进行结合，通过引入图结构化的知识表示和处理方法，把非结构化的文本数据转换为结构化的图谱形式，文本中的实体和概念被视为图中的节点，它们之间的关系则构成节点之间的边。然后利用机器学习技术，挖掘知识图谱中的深层信息和复杂关系，为模型提供更丰富的信息检索和推理路径，显著提升传统RAG系统的能力，为处理复杂和多样化数据提供了强有力的支持。</w:t>
      </w:r>
    </w:p>
    <w:p w14:paraId="0250CCF2">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RAG的应用在诸多产品使用中已有体现，如AIGC模型快速检索到最新的学界动态、行业新闻等，生成更符合实际需求的回复或内容，减少错误和不合理之处，清晰标注信息来源，适合需要最新资讯、研究资料或验证信息的场景，用户能直接看到答案的依据，透明度更高。在RAG执行过程中与上下文工程（Context Engineering）是紧密关联、相互支撑的，简单来说，</w:t>
      </w:r>
      <w:r>
        <w:rPr>
          <w:rFonts w:hint="default" w:ascii="Times New Roman" w:hAnsi="Times New Roman" w:eastAsia="宋体" w:cs="Times New Roman"/>
          <w:kern w:val="2"/>
          <w:sz w:val="21"/>
          <w:lang w:val="en-US" w:eastAsia="zh-CN" w:bidi="ar-SA"/>
        </w:rPr>
        <w:t>RAG 是一种依赖上下文工程的技术框架，而上下文工程是 RAG 实现 “精准生成” 的底层支撑</w:t>
      </w:r>
      <w:r>
        <w:rPr>
          <w:rFonts w:hint="eastAsia" w:ascii="Times New Roman" w:hAnsi="Times New Roman" w:eastAsia="宋体" w:cs="Times New Roman"/>
          <w:kern w:val="2"/>
          <w:sz w:val="21"/>
          <w:lang w:val="en-US" w:eastAsia="zh-CN" w:bidi="ar-SA"/>
        </w:rPr>
        <w:t>，对上下文融合得好的RAG，AI幻觉概率更低。</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76"/>
      </w:tblGrid>
      <w:tr w14:paraId="26190A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76" w:type="dxa"/>
          </w:tcPr>
          <w:p w14:paraId="5AD3E6FC">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400040" cy="2477135"/>
                  <wp:effectExtent l="0" t="0" r="10160" b="18415"/>
                  <wp:docPr id="27" name="图片 27" descr="1-9秘塔搜索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9秘塔搜索rag"/>
                          <pic:cNvPicPr>
                            <a:picLocks noChangeAspect="1"/>
                          </pic:cNvPicPr>
                        </pic:nvPicPr>
                        <pic:blipFill>
                          <a:blip r:embed="rId15"/>
                          <a:stretch>
                            <a:fillRect/>
                          </a:stretch>
                        </pic:blipFill>
                        <pic:spPr>
                          <a:xfrm>
                            <a:off x="0" y="0"/>
                            <a:ext cx="5400040" cy="2477135"/>
                          </a:xfrm>
                          <a:prstGeom prst="rect">
                            <a:avLst/>
                          </a:prstGeom>
                        </pic:spPr>
                      </pic:pic>
                    </a:graphicData>
                  </a:graphic>
                </wp:inline>
              </w:drawing>
            </w:r>
          </w:p>
          <w:p w14:paraId="2C36B68C">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9 AI产品RAG技术体现示例——秘塔搜索</w:t>
            </w:r>
          </w:p>
        </w:tc>
      </w:tr>
      <w:tr w14:paraId="403363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tcPr>
          <w:p w14:paraId="2F8EC984">
            <w:pPr>
              <w:ind w:left="0" w:leftChars="0" w:firstLine="0" w:firstLineChars="0"/>
              <w:jc w:val="center"/>
              <w:rPr>
                <w:rFonts w:hint="eastAsia" w:ascii="宋体" w:hAnsi="宋体" w:eastAsia="宋体" w:cs="宋体"/>
                <w:sz w:val="18"/>
                <w:szCs w:val="18"/>
                <w:highlight w:val="none"/>
                <w:lang w:eastAsia="zh-CN"/>
              </w:rPr>
            </w:pPr>
            <w:bookmarkStart w:id="1" w:name="OLE_LINK3"/>
            <w:r>
              <w:rPr>
                <w:rFonts w:hint="eastAsia" w:ascii="宋体" w:hAnsi="宋体" w:eastAsia="宋体" w:cs="宋体"/>
                <w:sz w:val="18"/>
                <w:szCs w:val="18"/>
                <w:highlight w:val="none"/>
                <w:lang w:eastAsia="zh-CN"/>
              </w:rPr>
              <w:drawing>
                <wp:inline distT="0" distB="0" distL="114300" distR="114300">
                  <wp:extent cx="5400040" cy="2266315"/>
                  <wp:effectExtent l="0" t="0" r="10160" b="635"/>
                  <wp:docPr id="29" name="图片 29" descr="1-10AI魔方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0AI魔方rag"/>
                          <pic:cNvPicPr>
                            <a:picLocks noChangeAspect="1"/>
                          </pic:cNvPicPr>
                        </pic:nvPicPr>
                        <pic:blipFill>
                          <a:blip r:embed="rId16"/>
                          <a:srcRect b="29338"/>
                          <a:stretch>
                            <a:fillRect/>
                          </a:stretch>
                        </pic:blipFill>
                        <pic:spPr>
                          <a:xfrm>
                            <a:off x="0" y="0"/>
                            <a:ext cx="5400040" cy="2266315"/>
                          </a:xfrm>
                          <a:prstGeom prst="rect">
                            <a:avLst/>
                          </a:prstGeom>
                        </pic:spPr>
                      </pic:pic>
                    </a:graphicData>
                  </a:graphic>
                </wp:inline>
              </w:drawing>
            </w:r>
          </w:p>
          <w:p w14:paraId="262A907F">
            <w:pPr>
              <w:ind w:left="0" w:leftChars="0" w:firstLine="0" w:firstLineChars="0"/>
              <w:jc w:val="center"/>
              <w:rPr>
                <w:rFonts w:hint="default" w:ascii="宋体" w:hAnsi="宋体" w:eastAsia="宋体" w:cs="宋体"/>
                <w:sz w:val="18"/>
                <w:szCs w:val="18"/>
                <w:highlight w:val="none"/>
                <w:lang w:val="en-US"/>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10 AI产品RAG技术体现示例——AI魔方全局搜索</w:t>
            </w:r>
          </w:p>
        </w:tc>
      </w:tr>
    </w:tbl>
    <w:p w14:paraId="09A4F073">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1.5.2  </w:t>
      </w:r>
      <w:r>
        <w:rPr>
          <w:rFonts w:hint="eastAsia" w:ascii="Arial" w:hAnsi="Arial"/>
          <w:lang w:val="en-US" w:eastAsia="zh-CN"/>
        </w:rPr>
        <w:t>独家AI工具、多AI一站式工具</w:t>
      </w:r>
      <w:bookmarkEnd w:id="1"/>
      <w:r>
        <w:rPr>
          <w:rFonts w:hint="eastAsia" w:ascii="Arial" w:hAnsi="Arial"/>
          <w:lang w:val="en-US" w:eastAsia="zh-CN"/>
        </w:rPr>
        <w:t>和独立部署解决方案</w:t>
      </w:r>
    </w:p>
    <w:p w14:paraId="07B437FF">
      <w:pPr>
        <w:widowControl w:val="0"/>
        <w:adjustRightInd/>
        <w:spacing w:line="332" w:lineRule="atLeast"/>
        <w:ind w:firstLine="420"/>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根据集成度和隐私保护的差异，可分为独家AI工具、多AI一站式工具和独立部署解决方案，它们各有特点和适用场景。</w:t>
      </w:r>
    </w:p>
    <w:p w14:paraId="49079446">
      <w:pPr>
        <w:widowControl w:val="0"/>
        <w:adjustRightInd w:val="0"/>
        <w:spacing w:before="152" w:beforeLines="50" w:line="332" w:lineRule="atLeast"/>
        <w:ind w:left="0" w:leftChars="0" w:firstLine="0" w:firstLineChars="0"/>
        <w:jc w:val="center"/>
        <w:textAlignment w:val="baseline"/>
        <w:rPr>
          <w:rFonts w:hint="default"/>
          <w:lang w:val="en-US" w:eastAsia="zh-CN"/>
        </w:rPr>
      </w:pPr>
      <w:r>
        <w:rPr>
          <w:rFonts w:hint="eastAsia" w:ascii="Arial" w:hAnsi="Arial" w:eastAsia="黑体" w:cs="Arial"/>
          <w:sz w:val="18"/>
          <w:lang w:val="en-US" w:eastAsia="zh-CN" w:bidi="ar-SA"/>
        </w:rPr>
        <w:t>表1-7  独家AI工具、多AI一站式工具和独立部署AI工具特点对照</w:t>
      </w:r>
    </w:p>
    <w:tbl>
      <w:tblPr>
        <w:tblStyle w:val="1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811"/>
        <w:gridCol w:w="1469"/>
        <w:gridCol w:w="5565"/>
        <w:gridCol w:w="2355"/>
      </w:tblGrid>
      <w:tr w14:paraId="0C54F6B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rPr>
          <w:tblHeader/>
        </w:trPr>
        <w:tc>
          <w:tcPr>
            <w:tcW w:w="811" w:type="dxa"/>
            <w:tcBorders>
              <w:left w:val="nil"/>
            </w:tcBorders>
            <w:shd w:val="clear" w:color="auto" w:fill="FFFFFF"/>
            <w:tcMar>
              <w:top w:w="180" w:type="dxa"/>
              <w:left w:w="270" w:type="dxa"/>
              <w:bottom w:w="180" w:type="dxa"/>
              <w:right w:w="270" w:type="dxa"/>
            </w:tcMar>
            <w:vAlign w:val="center"/>
          </w:tcPr>
          <w:p w14:paraId="4EB023AF">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类型</w:t>
            </w:r>
          </w:p>
        </w:tc>
        <w:tc>
          <w:tcPr>
            <w:tcW w:w="1469" w:type="dxa"/>
            <w:shd w:val="clear" w:color="auto" w:fill="FFFFFF"/>
            <w:tcMar>
              <w:top w:w="180" w:type="dxa"/>
              <w:left w:w="270" w:type="dxa"/>
              <w:bottom w:w="180" w:type="dxa"/>
              <w:right w:w="270" w:type="dxa"/>
            </w:tcMar>
            <w:vAlign w:val="center"/>
          </w:tcPr>
          <w:p w14:paraId="210BE54D">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代表工具</w:t>
            </w:r>
          </w:p>
        </w:tc>
        <w:tc>
          <w:tcPr>
            <w:tcW w:w="5565" w:type="dxa"/>
            <w:shd w:val="clear" w:color="auto" w:fill="FFFFFF"/>
            <w:tcMar>
              <w:top w:w="180" w:type="dxa"/>
              <w:left w:w="270" w:type="dxa"/>
              <w:bottom w:w="180" w:type="dxa"/>
              <w:right w:w="270" w:type="dxa"/>
            </w:tcMar>
            <w:vAlign w:val="center"/>
          </w:tcPr>
          <w:p w14:paraId="54DAE3A4">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特点</w:t>
            </w:r>
          </w:p>
        </w:tc>
        <w:tc>
          <w:tcPr>
            <w:tcW w:w="2355" w:type="dxa"/>
            <w:tcBorders>
              <w:right w:val="nil"/>
            </w:tcBorders>
            <w:shd w:val="clear" w:color="auto" w:fill="FFFFFF"/>
            <w:tcMar>
              <w:top w:w="180" w:type="dxa"/>
              <w:left w:w="270" w:type="dxa"/>
              <w:bottom w:w="180" w:type="dxa"/>
              <w:right w:w="270" w:type="dxa"/>
            </w:tcMar>
            <w:vAlign w:val="center"/>
          </w:tcPr>
          <w:p w14:paraId="741054A0">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center"/>
              <w:textAlignment w:val="auto"/>
              <w:rPr>
                <w:rFonts w:hint="eastAsia" w:ascii="黑体" w:hAnsi="黑体" w:eastAsia="黑体" w:cs="黑体"/>
                <w:b w:val="0"/>
                <w:bCs w:val="0"/>
                <w:i w:val="0"/>
                <w:iCs w:val="0"/>
                <w:caps w:val="0"/>
                <w:spacing w:val="0"/>
                <w:kern w:val="0"/>
                <w:sz w:val="18"/>
                <w:szCs w:val="18"/>
                <w:shd w:val="clear" w:fill="FFFFFF"/>
                <w:lang w:val="en-US" w:eastAsia="zh-CN" w:bidi="ar"/>
              </w:rPr>
            </w:pPr>
            <w:r>
              <w:rPr>
                <w:rFonts w:hint="eastAsia" w:ascii="黑体" w:hAnsi="黑体" w:eastAsia="黑体" w:cs="黑体"/>
                <w:b w:val="0"/>
                <w:bCs w:val="0"/>
                <w:i w:val="0"/>
                <w:iCs w:val="0"/>
                <w:caps w:val="0"/>
                <w:spacing w:val="0"/>
                <w:kern w:val="0"/>
                <w:sz w:val="18"/>
                <w:szCs w:val="18"/>
                <w:shd w:val="clear" w:fill="FFFFFF"/>
                <w:lang w:val="en-US" w:eastAsia="zh-CN" w:bidi="ar"/>
              </w:rPr>
              <w:t>适用场景</w:t>
            </w:r>
          </w:p>
        </w:tc>
      </w:tr>
      <w:tr w14:paraId="48EF885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811" w:type="dxa"/>
            <w:tcBorders>
              <w:left w:val="nil"/>
            </w:tcBorders>
            <w:shd w:val="clear" w:color="auto" w:fill="FFFFFF"/>
            <w:tcMar>
              <w:top w:w="180" w:type="dxa"/>
              <w:left w:w="270" w:type="dxa"/>
              <w:bottom w:w="180" w:type="dxa"/>
              <w:right w:w="270" w:type="dxa"/>
            </w:tcMar>
            <w:vAlign w:val="center"/>
          </w:tcPr>
          <w:p w14:paraId="15D568DE">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独家AI工具</w:t>
            </w:r>
          </w:p>
        </w:tc>
        <w:tc>
          <w:tcPr>
            <w:tcW w:w="1469" w:type="dxa"/>
            <w:shd w:val="clear" w:color="auto" w:fill="FFFFFF"/>
            <w:tcMar>
              <w:top w:w="180" w:type="dxa"/>
              <w:left w:w="270" w:type="dxa"/>
              <w:bottom w:w="180" w:type="dxa"/>
              <w:right w:w="270" w:type="dxa"/>
            </w:tcMar>
            <w:vAlign w:val="center"/>
          </w:tcPr>
          <w:p w14:paraId="02185A13">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DeepSeek、Qwen、豆包、商量、智谱</w:t>
            </w:r>
          </w:p>
        </w:tc>
        <w:tc>
          <w:tcPr>
            <w:tcW w:w="5565" w:type="dxa"/>
            <w:shd w:val="clear" w:color="auto" w:fill="FFFFFF"/>
            <w:tcMar>
              <w:top w:w="180" w:type="dxa"/>
              <w:left w:w="270" w:type="dxa"/>
              <w:bottom w:w="180" w:type="dxa"/>
              <w:right w:w="270" w:type="dxa"/>
            </w:tcMar>
            <w:vAlign w:val="center"/>
          </w:tcPr>
          <w:p w14:paraId="49EFF200">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这类工具提供最简单直接的访问方式。用户通常只需一个在线账户，打开网页或下载一个轻量级应用，就能立即开始使用预设好的AI功能。它最大的优势在于极低的使用门槛和即时性。功能通常是标准化、普适性的，定制化程度极低或没有</w:t>
            </w:r>
          </w:p>
        </w:tc>
        <w:tc>
          <w:tcPr>
            <w:tcW w:w="2355" w:type="dxa"/>
            <w:tcBorders>
              <w:right w:val="nil"/>
            </w:tcBorders>
            <w:shd w:val="clear" w:color="auto" w:fill="FFFFFF"/>
            <w:tcMar>
              <w:top w:w="180" w:type="dxa"/>
              <w:left w:w="270" w:type="dxa"/>
              <w:bottom w:w="180" w:type="dxa"/>
              <w:right w:w="270" w:type="dxa"/>
            </w:tcMar>
            <w:vAlign w:val="center"/>
          </w:tcPr>
          <w:p w14:paraId="0CFA4BB6">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个人用户快速尝试AI、完成简单通用任务、对技术零基础的普通用户</w:t>
            </w:r>
          </w:p>
        </w:tc>
      </w:tr>
      <w:tr w14:paraId="01395ED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c>
          <w:tcPr>
            <w:tcW w:w="811" w:type="dxa"/>
            <w:tcBorders>
              <w:left w:val="nil"/>
            </w:tcBorders>
            <w:shd w:val="clear" w:color="auto" w:fill="FFFFFF"/>
            <w:tcMar>
              <w:top w:w="180" w:type="dxa"/>
              <w:left w:w="270" w:type="dxa"/>
              <w:bottom w:w="180" w:type="dxa"/>
              <w:right w:w="270" w:type="dxa"/>
            </w:tcMar>
            <w:vAlign w:val="center"/>
          </w:tcPr>
          <w:p w14:paraId="55397279">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多AI一站式</w:t>
            </w:r>
          </w:p>
        </w:tc>
        <w:tc>
          <w:tcPr>
            <w:tcW w:w="1469" w:type="dxa"/>
            <w:shd w:val="clear" w:color="auto" w:fill="FFFFFF"/>
            <w:tcMar>
              <w:top w:w="180" w:type="dxa"/>
              <w:left w:w="270" w:type="dxa"/>
              <w:bottom w:w="180" w:type="dxa"/>
              <w:right w:w="270" w:type="dxa"/>
            </w:tcMar>
            <w:vAlign w:val="center"/>
          </w:tcPr>
          <w:p w14:paraId="36D08148">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360AI助手、</w:t>
            </w:r>
          </w:p>
          <w:p w14:paraId="34FC487E">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Aingdesk、AI魔方</w:t>
            </w:r>
          </w:p>
        </w:tc>
        <w:tc>
          <w:tcPr>
            <w:tcW w:w="5565" w:type="dxa"/>
            <w:shd w:val="clear" w:color="auto" w:fill="FFFFFF"/>
            <w:tcMar>
              <w:top w:w="180" w:type="dxa"/>
              <w:left w:w="270" w:type="dxa"/>
              <w:bottom w:w="180" w:type="dxa"/>
              <w:right w:w="270" w:type="dxa"/>
            </w:tcMar>
            <w:vAlign w:val="center"/>
          </w:tcPr>
          <w:p w14:paraId="3102F133">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eastAsia"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在界面或软件内集成多种AI模型，交叉验证更效率，并可能提供数据管理、工作流、团队协作、API访问、更大程度的自定义等进阶功能，相比开箱即用的独家AI工具，提供了更强的控制力和定制化空间</w:t>
            </w:r>
          </w:p>
        </w:tc>
        <w:tc>
          <w:tcPr>
            <w:tcW w:w="2355" w:type="dxa"/>
            <w:tcBorders>
              <w:right w:val="nil"/>
            </w:tcBorders>
            <w:shd w:val="clear" w:color="auto" w:fill="FFFFFF"/>
            <w:tcMar>
              <w:top w:w="180" w:type="dxa"/>
              <w:left w:w="270" w:type="dxa"/>
              <w:bottom w:w="180" w:type="dxa"/>
              <w:right w:w="270" w:type="dxa"/>
            </w:tcMar>
            <w:vAlign w:val="center"/>
          </w:tcPr>
          <w:p w14:paraId="44E5FDC1">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需多种AI能力协同创作教研；综合管理多AI资源、数据和流程；支持MCP、A2A等协议设定工作流指派多AI在不同环节执行任务</w:t>
            </w:r>
          </w:p>
        </w:tc>
      </w:tr>
      <w:tr w14:paraId="3A45F52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26" w:hRule="atLeast"/>
        </w:trPr>
        <w:tc>
          <w:tcPr>
            <w:tcW w:w="811" w:type="dxa"/>
            <w:tcBorders>
              <w:left w:val="nil"/>
            </w:tcBorders>
            <w:shd w:val="clear" w:color="auto" w:fill="FFFFFF"/>
            <w:tcMar>
              <w:top w:w="180" w:type="dxa"/>
              <w:left w:w="270" w:type="dxa"/>
              <w:bottom w:w="180" w:type="dxa"/>
              <w:right w:w="270" w:type="dxa"/>
            </w:tcMar>
            <w:vAlign w:val="center"/>
          </w:tcPr>
          <w:p w14:paraId="6F3C0561">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独立部署AI</w:t>
            </w:r>
          </w:p>
        </w:tc>
        <w:tc>
          <w:tcPr>
            <w:tcW w:w="1469" w:type="dxa"/>
            <w:shd w:val="clear" w:color="auto" w:fill="FFFFFF"/>
            <w:tcMar>
              <w:top w:w="180" w:type="dxa"/>
              <w:left w:w="270" w:type="dxa"/>
              <w:bottom w:w="180" w:type="dxa"/>
              <w:right w:w="270" w:type="dxa"/>
            </w:tcMar>
            <w:vAlign w:val="center"/>
          </w:tcPr>
          <w:p w14:paraId="639A07F3">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eastAsia" w:ascii="宋体" w:hAnsi="宋体" w:eastAsia="宋体" w:cs="宋体"/>
                <w:i w:val="0"/>
                <w:iCs w:val="0"/>
                <w:caps w:val="0"/>
                <w:spacing w:val="0"/>
                <w:kern w:val="0"/>
                <w:sz w:val="18"/>
                <w:szCs w:val="18"/>
                <w:highlight w:val="none"/>
                <w:shd w:val="clear" w:fill="FFFFFF"/>
                <w:lang w:val="en-US" w:eastAsia="zh-CN" w:bidi="ar"/>
              </w:rPr>
            </w:pPr>
            <w:r>
              <w:rPr>
                <w:rFonts w:hint="eastAsia" w:ascii="宋体" w:hAnsi="宋体" w:eastAsia="宋体" w:cs="宋体"/>
                <w:i w:val="0"/>
                <w:iCs w:val="0"/>
                <w:caps w:val="0"/>
                <w:spacing w:val="0"/>
                <w:kern w:val="0"/>
                <w:sz w:val="18"/>
                <w:szCs w:val="18"/>
                <w:highlight w:val="none"/>
                <w:shd w:val="clear" w:fill="FFFFFF"/>
                <w:lang w:val="en-US" w:eastAsia="zh-CN" w:bidi="ar"/>
              </w:rPr>
              <w:t>Llama、vLLM</w:t>
            </w:r>
          </w:p>
          <w:p w14:paraId="36B026EE">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default" w:ascii="宋体" w:hAnsi="宋体" w:eastAsia="宋体" w:cs="宋体"/>
                <w:i w:val="0"/>
                <w:iCs w:val="0"/>
                <w:caps w:val="0"/>
                <w:spacing w:val="0"/>
                <w:kern w:val="0"/>
                <w:sz w:val="18"/>
                <w:szCs w:val="18"/>
                <w:highlight w:val="none"/>
                <w:shd w:val="clear" w:fill="FFFFFF"/>
                <w:lang w:val="en-US" w:eastAsia="zh-CN" w:bidi="ar"/>
              </w:rPr>
            </w:pPr>
            <w:r>
              <w:rPr>
                <w:rFonts w:hint="eastAsia" w:ascii="宋体" w:hAnsi="宋体" w:eastAsia="宋体" w:cs="宋体"/>
                <w:i w:val="0"/>
                <w:iCs w:val="0"/>
                <w:caps w:val="0"/>
                <w:spacing w:val="0"/>
                <w:kern w:val="0"/>
                <w:sz w:val="18"/>
                <w:szCs w:val="18"/>
                <w:highlight w:val="none"/>
                <w:shd w:val="clear" w:fill="FFFFFF"/>
                <w:lang w:val="en-US" w:eastAsia="zh-CN" w:bidi="ar"/>
              </w:rPr>
              <w:t>豆包浏览器</w:t>
            </w:r>
          </w:p>
          <w:p w14:paraId="3B0DC76B">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jc w:val="left"/>
              <w:textAlignment w:val="auto"/>
              <w:rPr>
                <w:rFonts w:hint="default" w:ascii="宋体" w:hAnsi="宋体" w:eastAsia="宋体" w:cs="宋体"/>
                <w:i w:val="0"/>
                <w:iCs w:val="0"/>
                <w:caps w:val="0"/>
                <w:spacing w:val="0"/>
                <w:kern w:val="0"/>
                <w:sz w:val="18"/>
                <w:szCs w:val="18"/>
                <w:highlight w:val="none"/>
                <w:shd w:val="clear" w:fill="FFFFFF"/>
                <w:lang w:val="en-US" w:eastAsia="zh-CN" w:bidi="ar"/>
              </w:rPr>
            </w:pPr>
            <w:r>
              <w:rPr>
                <w:rFonts w:hint="eastAsia" w:ascii="宋体" w:hAnsi="宋体" w:eastAsia="宋体" w:cs="宋体"/>
                <w:i w:val="0"/>
                <w:iCs w:val="0"/>
                <w:caps w:val="0"/>
                <w:spacing w:val="0"/>
                <w:kern w:val="0"/>
                <w:sz w:val="18"/>
                <w:szCs w:val="18"/>
                <w:highlight w:val="none"/>
                <w:shd w:val="clear" w:fill="FFFFFF"/>
                <w:lang w:val="en-US" w:eastAsia="zh-CN" w:bidi="ar"/>
              </w:rPr>
              <w:t>AI魔方</w:t>
            </w:r>
          </w:p>
        </w:tc>
        <w:tc>
          <w:tcPr>
            <w:tcW w:w="5565" w:type="dxa"/>
            <w:shd w:val="clear" w:color="auto" w:fill="FFFFFF"/>
            <w:tcMar>
              <w:top w:w="180" w:type="dxa"/>
              <w:left w:w="270" w:type="dxa"/>
              <w:bottom w:w="180" w:type="dxa"/>
              <w:right w:w="270" w:type="dxa"/>
            </w:tcMar>
            <w:vAlign w:val="center"/>
          </w:tcPr>
          <w:p w14:paraId="087BE988">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优势是数据安全可控，数据完全保留在用户自己的硬件环境中，满足隐私与合规要求。用户拥有模型的完全控制权，可进行深度的定制化训练、与内部系统无缝集成、按需修改模型行为。但这也带来一定技术门槛、部署复杂度和维护成本</w:t>
            </w:r>
          </w:p>
        </w:tc>
        <w:tc>
          <w:tcPr>
            <w:tcW w:w="2355" w:type="dxa"/>
            <w:tcBorders>
              <w:right w:val="nil"/>
            </w:tcBorders>
            <w:shd w:val="clear" w:color="auto" w:fill="FFFFFF"/>
            <w:tcMar>
              <w:top w:w="180" w:type="dxa"/>
              <w:left w:w="270" w:type="dxa"/>
              <w:bottom w:w="180" w:type="dxa"/>
              <w:right w:w="270" w:type="dxa"/>
            </w:tcMar>
            <w:vAlign w:val="center"/>
          </w:tcPr>
          <w:p w14:paraId="72C4EEEF">
            <w:pPr>
              <w:keepNext w:val="0"/>
              <w:keepLines w:val="0"/>
              <w:pageBreakBefore w:val="0"/>
              <w:widowControl w:val="0"/>
              <w:kinsoku/>
              <w:wordWrap/>
              <w:overflowPunct/>
              <w:topLinePunct w:val="0"/>
              <w:autoSpaceDE/>
              <w:autoSpaceDN/>
              <w:bidi w:val="0"/>
              <w:adjustRightInd w:val="0"/>
              <w:snapToGrid w:val="0"/>
              <w:spacing w:line="264" w:lineRule="auto"/>
              <w:ind w:firstLine="0" w:firstLineChars="0"/>
              <w:textAlignment w:val="auto"/>
              <w:rPr>
                <w:rFonts w:hint="default" w:ascii="宋体" w:hAnsi="宋体" w:eastAsia="宋体" w:cs="宋体"/>
                <w:i w:val="0"/>
                <w:iCs w:val="0"/>
                <w:caps w:val="0"/>
                <w:spacing w:val="0"/>
                <w:kern w:val="0"/>
                <w:sz w:val="18"/>
                <w:szCs w:val="18"/>
                <w:shd w:val="clear" w:fill="FFFFFF"/>
                <w:lang w:val="en-US" w:eastAsia="zh-CN" w:bidi="ar"/>
              </w:rPr>
            </w:pPr>
            <w:r>
              <w:rPr>
                <w:rFonts w:hint="eastAsia" w:ascii="宋体" w:hAnsi="宋体" w:eastAsia="宋体" w:cs="宋体"/>
                <w:i w:val="0"/>
                <w:iCs w:val="0"/>
                <w:caps w:val="0"/>
                <w:spacing w:val="0"/>
                <w:kern w:val="0"/>
                <w:sz w:val="18"/>
                <w:szCs w:val="18"/>
                <w:shd w:val="clear" w:fill="FFFFFF"/>
                <w:lang w:val="en-US" w:eastAsia="zh-CN" w:bidi="ar"/>
              </w:rPr>
              <w:t>对数据隐私和安全有要求，需将AI集成到核心业务流程或系统中。需要离线运行AI的场景</w:t>
            </w:r>
          </w:p>
        </w:tc>
      </w:tr>
    </w:tbl>
    <w:p w14:paraId="012981DD">
      <w:pPr>
        <w:ind w:left="0" w:leftChars="0" w:firstLine="0" w:firstLineChars="0"/>
        <w:rPr>
          <w:rFonts w:hint="eastAsia" w:ascii="宋体" w:hAnsi="宋体" w:eastAsia="宋体" w:cs="宋体"/>
          <w:i w:val="0"/>
          <w:iCs w:val="0"/>
          <w:caps w:val="0"/>
          <w:spacing w:val="0"/>
          <w:kern w:val="0"/>
          <w:sz w:val="21"/>
          <w:szCs w:val="21"/>
          <w:shd w:val="clear" w:fill="FFFFFF"/>
          <w:lang w:val="en-US" w:eastAsia="zh-CN" w:bidi="ar"/>
        </w:rPr>
      </w:pPr>
    </w:p>
    <w:p w14:paraId="40350A49">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在公开教学场景中可直接使用开箱即用的AI服务和一站式工具，成本低见效快。但涉及私域数据有隐私安全顾虑的内容创作场景，我们更建议独立部署私有化AI来进行创作。</w:t>
      </w:r>
    </w:p>
    <w:p w14:paraId="00850B4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利用Ollama、vLLM、LLaMa.cpp等运行框架可以将AI大模型安装部署到本地服务器甚至个人电脑上，部分一站式工具也能够提供更为自动化的下载即部署本机AI的服务，根据个人设备的算力，自动识别可部署的最优模型，协助构建个人知识库，硬件不联网也能使用。</w:t>
      </w:r>
    </w:p>
    <w:p w14:paraId="389DC95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424"/>
      </w:tblGrid>
      <w:tr w14:paraId="4F732E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56" w:type="dxa"/>
          </w:tcPr>
          <w:p w14:paraId="325BB45A">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drawing>
                <wp:inline distT="0" distB="0" distL="114300" distR="114300">
                  <wp:extent cx="4572000" cy="1979930"/>
                  <wp:effectExtent l="0" t="0" r="508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4572000" cy="1979930"/>
                          </a:xfrm>
                          <a:prstGeom prst="rect">
                            <a:avLst/>
                          </a:prstGeom>
                          <a:noFill/>
                          <a:ln>
                            <a:noFill/>
                          </a:ln>
                        </pic:spPr>
                      </pic:pic>
                    </a:graphicData>
                  </a:graphic>
                </wp:inline>
              </w:drawing>
            </w:r>
          </w:p>
          <w:p w14:paraId="0DD938A2">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 xml:space="preserve">11 </w:t>
            </w:r>
            <w:r>
              <w:rPr>
                <w:rFonts w:hint="eastAsia"/>
                <w:sz w:val="18"/>
                <w:szCs w:val="18"/>
                <w:lang w:val="en-US" w:eastAsia="zh-CN"/>
              </w:rPr>
              <w:t>豆包浏览器本地AI部署</w:t>
            </w:r>
          </w:p>
        </w:tc>
      </w:tr>
    </w:tbl>
    <w:p w14:paraId="3FEA99EF">
      <w:pPr>
        <w:rPr>
          <w:rFonts w:hint="eastAsia" w:ascii="宋体" w:hAnsi="宋体" w:eastAsia="宋体" w:cs="宋体"/>
          <w:i w:val="0"/>
          <w:iCs w:val="0"/>
          <w:caps w:val="0"/>
          <w:spacing w:val="0"/>
          <w:kern w:val="0"/>
          <w:sz w:val="21"/>
          <w:szCs w:val="21"/>
          <w:shd w:val="clear" w:fill="FFFFFF"/>
          <w:lang w:val="en-US" w:eastAsia="zh-CN" w:bidi="ar"/>
        </w:rPr>
      </w:pPr>
    </w:p>
    <w:p w14:paraId="09064C4B">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豆包本地部署推荐系统配置要求显存为12GB及以上的NVIDIA RTX GPU，Intel Core i5 8核心及以上处理器，16GB内存，本地部署的大模型目前为智谱的7b模型。</w:t>
      </w:r>
    </w:p>
    <w:p w14:paraId="2B1BE2DE">
      <w:pPr>
        <w:widowControl w:val="0"/>
        <w:adjustRightInd/>
        <w:spacing w:line="332" w:lineRule="atLeast"/>
        <w:ind w:firstLine="420"/>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AI魔方根据个人电脑配置，联网后自动识别加载、部署的大模型为DeepSeek、Qwen3等。</w:t>
      </w:r>
    </w:p>
    <w:p w14:paraId="717F582A">
      <w:pPr>
        <w:rPr>
          <w:rFonts w:hint="default"/>
          <w:lang w:val="en-US" w:eastAsia="zh-CN"/>
        </w:rPr>
      </w:pPr>
      <w:r>
        <w:rPr>
          <w:rFonts w:hint="eastAsia"/>
          <w:lang w:val="en-US" w:eastAsia="zh-CN"/>
        </w:rPr>
        <w:t xml:space="preserve">                  </w:t>
      </w:r>
    </w:p>
    <w:p w14:paraId="5DF152E2">
      <w:pPr>
        <w:pStyle w:val="8"/>
        <w:bidi w:val="0"/>
        <w:ind w:left="0" w:leftChars="0" w:firstLine="0" w:firstLineChars="0"/>
        <w:jc w:val="center"/>
        <w:rPr>
          <w:rFonts w:hint="default" w:eastAsia="黑体"/>
          <w:sz w:val="18"/>
          <w:szCs w:val="18"/>
          <w:lang w:val="en-US" w:eastAsia="zh-CN"/>
        </w:rPr>
      </w:pPr>
      <w:r>
        <w:rPr>
          <w:sz w:val="18"/>
          <w:szCs w:val="18"/>
        </w:rPr>
        <w:t xml:space="preserve">表 </w:t>
      </w:r>
      <w:r>
        <w:rPr>
          <w:rFonts w:hint="eastAsia"/>
          <w:sz w:val="18"/>
          <w:szCs w:val="18"/>
          <w:lang w:val="en-US" w:eastAsia="zh-CN"/>
        </w:rPr>
        <w:t>1-8  AI魔方自动部署AI模型对应硬件参数表</w:t>
      </w:r>
    </w:p>
    <w:tbl>
      <w:tblPr>
        <w:tblStyle w:val="13"/>
        <w:tblW w:w="885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402"/>
        <w:gridCol w:w="2294"/>
        <w:gridCol w:w="2294"/>
        <w:gridCol w:w="2865"/>
      </w:tblGrid>
      <w:tr w14:paraId="3817FA2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jc w:val="center"/>
        </w:trPr>
        <w:tc>
          <w:tcPr>
            <w:tcW w:w="1402" w:type="dxa"/>
            <w:tcBorders>
              <w:tl2br w:val="nil"/>
            </w:tcBorders>
            <w:shd w:val="clear" w:color="auto" w:fill="FFFFFF"/>
            <w:tcMar>
              <w:top w:w="180" w:type="dxa"/>
              <w:left w:w="270" w:type="dxa"/>
              <w:bottom w:w="180" w:type="dxa"/>
              <w:right w:w="270" w:type="dxa"/>
            </w:tcMar>
            <w:vAlign w:val="center"/>
          </w:tcPr>
          <w:p w14:paraId="4BCE202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000000"/>
                <w:spacing w:val="0"/>
                <w:kern w:val="0"/>
                <w:sz w:val="18"/>
                <w:szCs w:val="18"/>
                <w:shd w:val="clear" w:fill="FFFFFF"/>
                <w:lang w:val="en-US" w:eastAsia="zh-CN" w:bidi="ar"/>
              </w:rPr>
            </w:pPr>
            <w:r>
              <w:rPr>
                <w:rFonts w:hint="eastAsia" w:ascii="黑体" w:hAnsi="黑体" w:eastAsia="黑体" w:cs="黑体"/>
                <w:b w:val="0"/>
                <w:bCs w:val="0"/>
                <w:i w:val="0"/>
                <w:iCs w:val="0"/>
                <w:caps w:val="0"/>
                <w:color w:val="000000"/>
                <w:spacing w:val="0"/>
                <w:kern w:val="0"/>
                <w:sz w:val="18"/>
                <w:szCs w:val="18"/>
                <w:shd w:val="clear" w:fill="FFFFFF"/>
                <w:lang w:val="en-US" w:eastAsia="zh-CN" w:bidi="ar"/>
              </w:rPr>
              <w:t>有无显卡</w:t>
            </w:r>
          </w:p>
        </w:tc>
        <w:tc>
          <w:tcPr>
            <w:tcW w:w="2294" w:type="dxa"/>
            <w:shd w:val="clear" w:color="auto" w:fill="FFFFFF"/>
            <w:tcMar>
              <w:top w:w="180" w:type="dxa"/>
              <w:left w:w="270" w:type="dxa"/>
              <w:bottom w:w="180" w:type="dxa"/>
              <w:right w:w="270" w:type="dxa"/>
            </w:tcMar>
            <w:vAlign w:val="center"/>
          </w:tcPr>
          <w:p w14:paraId="103A108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000000"/>
                <w:spacing w:val="0"/>
                <w:kern w:val="0"/>
                <w:sz w:val="18"/>
                <w:szCs w:val="18"/>
                <w:shd w:val="clear" w:fill="FFFFFF"/>
                <w:lang w:val="en-US" w:eastAsia="zh-CN" w:bidi="ar"/>
              </w:rPr>
            </w:pPr>
            <w:r>
              <w:rPr>
                <w:rFonts w:hint="eastAsia" w:ascii="黑体" w:hAnsi="黑体" w:eastAsia="黑体" w:cs="黑体"/>
                <w:b w:val="0"/>
                <w:bCs w:val="0"/>
                <w:i w:val="0"/>
                <w:iCs w:val="0"/>
                <w:caps w:val="0"/>
                <w:color w:val="000000"/>
                <w:spacing w:val="0"/>
                <w:kern w:val="0"/>
                <w:sz w:val="18"/>
                <w:szCs w:val="18"/>
                <w:shd w:val="clear" w:fill="FFFFFF"/>
                <w:lang w:val="en-US" w:eastAsia="zh-CN" w:bidi="ar"/>
              </w:rPr>
              <w:t>显存</w:t>
            </w:r>
          </w:p>
        </w:tc>
        <w:tc>
          <w:tcPr>
            <w:tcW w:w="2294" w:type="dxa"/>
            <w:shd w:val="clear" w:color="auto" w:fill="FFFFFF"/>
            <w:tcMar>
              <w:top w:w="180" w:type="dxa"/>
              <w:left w:w="270" w:type="dxa"/>
              <w:bottom w:w="180" w:type="dxa"/>
              <w:right w:w="270" w:type="dxa"/>
            </w:tcMar>
            <w:vAlign w:val="center"/>
          </w:tcPr>
          <w:p w14:paraId="28BCC70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000000"/>
                <w:spacing w:val="0"/>
                <w:kern w:val="0"/>
                <w:sz w:val="18"/>
                <w:szCs w:val="18"/>
                <w:shd w:val="clear" w:fill="FFFFFF"/>
                <w:lang w:val="en-US" w:eastAsia="zh-CN" w:bidi="ar"/>
              </w:rPr>
            </w:pPr>
            <w:r>
              <w:rPr>
                <w:rFonts w:hint="eastAsia" w:ascii="黑体" w:hAnsi="黑体" w:eastAsia="黑体" w:cs="黑体"/>
                <w:b w:val="0"/>
                <w:bCs w:val="0"/>
                <w:i w:val="0"/>
                <w:iCs w:val="0"/>
                <w:caps w:val="0"/>
                <w:color w:val="000000"/>
                <w:spacing w:val="0"/>
                <w:kern w:val="0"/>
                <w:sz w:val="18"/>
                <w:szCs w:val="18"/>
                <w:shd w:val="clear" w:fill="FFFFFF"/>
                <w:lang w:val="en-US" w:eastAsia="zh-CN" w:bidi="ar"/>
              </w:rPr>
              <w:t>内存</w:t>
            </w:r>
          </w:p>
        </w:tc>
        <w:tc>
          <w:tcPr>
            <w:tcW w:w="2865" w:type="dxa"/>
            <w:shd w:val="clear" w:color="auto" w:fill="FFFFFF"/>
            <w:tcMar>
              <w:top w:w="180" w:type="dxa"/>
              <w:left w:w="270" w:type="dxa"/>
              <w:bottom w:w="180" w:type="dxa"/>
              <w:right w:w="270" w:type="dxa"/>
            </w:tcMar>
            <w:vAlign w:val="center"/>
          </w:tcPr>
          <w:p w14:paraId="31E3BB3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黑体" w:hAnsi="黑体" w:eastAsia="黑体" w:cs="黑体"/>
                <w:b w:val="0"/>
                <w:bCs w:val="0"/>
                <w:i w:val="0"/>
                <w:iCs w:val="0"/>
                <w:caps w:val="0"/>
                <w:color w:val="000000"/>
                <w:spacing w:val="0"/>
                <w:kern w:val="0"/>
                <w:sz w:val="18"/>
                <w:szCs w:val="18"/>
                <w:shd w:val="clear" w:fill="FFFFFF"/>
                <w:lang w:val="en-US" w:eastAsia="zh-CN" w:bidi="ar"/>
              </w:rPr>
            </w:pPr>
            <w:r>
              <w:rPr>
                <w:rFonts w:hint="eastAsia" w:ascii="黑体" w:hAnsi="黑体" w:eastAsia="黑体" w:cs="黑体"/>
                <w:b w:val="0"/>
                <w:bCs w:val="0"/>
                <w:i w:val="0"/>
                <w:iCs w:val="0"/>
                <w:caps w:val="0"/>
                <w:color w:val="000000"/>
                <w:spacing w:val="0"/>
                <w:kern w:val="0"/>
                <w:sz w:val="18"/>
                <w:szCs w:val="18"/>
                <w:shd w:val="clear" w:fill="FFFFFF"/>
                <w:lang w:val="en-US" w:eastAsia="zh-CN" w:bidi="ar"/>
              </w:rPr>
              <w:t>适用AI模型大小</w:t>
            </w:r>
          </w:p>
        </w:tc>
      </w:tr>
      <w:tr w14:paraId="5747B68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restart"/>
            <w:shd w:val="clear" w:color="auto" w:fill="FFFFFF"/>
            <w:tcMar>
              <w:top w:w="180" w:type="dxa"/>
              <w:left w:w="270" w:type="dxa"/>
              <w:bottom w:w="180" w:type="dxa"/>
              <w:right w:w="270" w:type="dxa"/>
            </w:tcMar>
            <w:vAlign w:val="center"/>
          </w:tcPr>
          <w:p w14:paraId="347905E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无显卡</w:t>
            </w:r>
          </w:p>
        </w:tc>
        <w:tc>
          <w:tcPr>
            <w:tcW w:w="2294" w:type="dxa"/>
            <w:shd w:val="clear" w:color="auto" w:fill="FFFFFF"/>
            <w:tcMar>
              <w:top w:w="180" w:type="dxa"/>
              <w:left w:w="270" w:type="dxa"/>
              <w:bottom w:w="180" w:type="dxa"/>
              <w:right w:w="270" w:type="dxa"/>
            </w:tcMar>
            <w:vAlign w:val="center"/>
          </w:tcPr>
          <w:p w14:paraId="716B262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无</w:t>
            </w:r>
          </w:p>
        </w:tc>
        <w:tc>
          <w:tcPr>
            <w:tcW w:w="2294" w:type="dxa"/>
            <w:shd w:val="clear" w:color="auto" w:fill="FFFFFF"/>
            <w:tcMar>
              <w:top w:w="180" w:type="dxa"/>
              <w:left w:w="270" w:type="dxa"/>
              <w:bottom w:w="180" w:type="dxa"/>
              <w:right w:w="270" w:type="dxa"/>
            </w:tcMar>
            <w:vAlign w:val="center"/>
          </w:tcPr>
          <w:p w14:paraId="6431D82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8GB</w:t>
            </w:r>
          </w:p>
        </w:tc>
        <w:tc>
          <w:tcPr>
            <w:tcW w:w="2865" w:type="dxa"/>
            <w:shd w:val="clear" w:color="auto" w:fill="FFFFFF"/>
            <w:tcMar>
              <w:top w:w="180" w:type="dxa"/>
              <w:left w:w="270" w:type="dxa"/>
              <w:bottom w:w="180" w:type="dxa"/>
              <w:right w:w="270" w:type="dxa"/>
            </w:tcMar>
            <w:vAlign w:val="center"/>
          </w:tcPr>
          <w:p w14:paraId="58E11E8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0.6b</w:t>
            </w:r>
          </w:p>
        </w:tc>
      </w:tr>
      <w:tr w14:paraId="4B20A9A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continue"/>
            <w:shd w:val="clear" w:color="auto" w:fill="FFFFFF"/>
            <w:tcMar>
              <w:top w:w="180" w:type="dxa"/>
              <w:left w:w="270" w:type="dxa"/>
              <w:bottom w:w="180" w:type="dxa"/>
              <w:right w:w="270" w:type="dxa"/>
            </w:tcMar>
            <w:vAlign w:val="center"/>
          </w:tcPr>
          <w:p w14:paraId="1F6F85E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19C3E40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无</w:t>
            </w:r>
          </w:p>
        </w:tc>
        <w:tc>
          <w:tcPr>
            <w:tcW w:w="2294" w:type="dxa"/>
            <w:shd w:val="clear" w:color="auto" w:fill="FFFFFF"/>
            <w:tcMar>
              <w:top w:w="180" w:type="dxa"/>
              <w:left w:w="270" w:type="dxa"/>
              <w:bottom w:w="180" w:type="dxa"/>
              <w:right w:w="270" w:type="dxa"/>
            </w:tcMar>
            <w:vAlign w:val="center"/>
          </w:tcPr>
          <w:p w14:paraId="5FC3A92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16G</w:t>
            </w:r>
          </w:p>
        </w:tc>
        <w:tc>
          <w:tcPr>
            <w:tcW w:w="2865" w:type="dxa"/>
            <w:shd w:val="clear" w:color="auto" w:fill="FFFFFF"/>
            <w:tcMar>
              <w:top w:w="180" w:type="dxa"/>
              <w:left w:w="270" w:type="dxa"/>
              <w:bottom w:w="180" w:type="dxa"/>
              <w:right w:w="270" w:type="dxa"/>
            </w:tcMar>
            <w:vAlign w:val="center"/>
          </w:tcPr>
          <w:p w14:paraId="779F04C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1.7b</w:t>
            </w:r>
          </w:p>
        </w:tc>
      </w:tr>
      <w:tr w14:paraId="528CF55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continue"/>
            <w:shd w:val="clear" w:color="auto" w:fill="FFFFFF"/>
            <w:tcMar>
              <w:top w:w="180" w:type="dxa"/>
              <w:left w:w="270" w:type="dxa"/>
              <w:bottom w:w="180" w:type="dxa"/>
              <w:right w:w="270" w:type="dxa"/>
            </w:tcMar>
            <w:vAlign w:val="center"/>
          </w:tcPr>
          <w:p w14:paraId="6EB198F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2756E16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无</w:t>
            </w:r>
          </w:p>
        </w:tc>
        <w:tc>
          <w:tcPr>
            <w:tcW w:w="2294" w:type="dxa"/>
            <w:shd w:val="clear" w:color="auto" w:fill="FFFFFF"/>
            <w:tcMar>
              <w:top w:w="180" w:type="dxa"/>
              <w:left w:w="270" w:type="dxa"/>
              <w:bottom w:w="180" w:type="dxa"/>
              <w:right w:w="270" w:type="dxa"/>
            </w:tcMar>
            <w:vAlign w:val="center"/>
          </w:tcPr>
          <w:p w14:paraId="3DE6588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24GB~32GB</w:t>
            </w:r>
          </w:p>
        </w:tc>
        <w:tc>
          <w:tcPr>
            <w:tcW w:w="2865" w:type="dxa"/>
            <w:shd w:val="clear" w:color="auto" w:fill="FFFFFF"/>
            <w:tcMar>
              <w:top w:w="180" w:type="dxa"/>
              <w:left w:w="270" w:type="dxa"/>
              <w:bottom w:w="180" w:type="dxa"/>
              <w:right w:w="270" w:type="dxa"/>
            </w:tcMar>
            <w:vAlign w:val="center"/>
          </w:tcPr>
          <w:p w14:paraId="793B661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4b</w:t>
            </w:r>
          </w:p>
        </w:tc>
      </w:tr>
      <w:tr w14:paraId="0F2622B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continue"/>
            <w:shd w:val="clear" w:color="auto" w:fill="FFFFFF"/>
            <w:tcMar>
              <w:top w:w="180" w:type="dxa"/>
              <w:left w:w="270" w:type="dxa"/>
              <w:bottom w:w="180" w:type="dxa"/>
              <w:right w:w="270" w:type="dxa"/>
            </w:tcMar>
            <w:vAlign w:val="center"/>
          </w:tcPr>
          <w:p w14:paraId="724C13F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679F4A5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无</w:t>
            </w:r>
          </w:p>
        </w:tc>
        <w:tc>
          <w:tcPr>
            <w:tcW w:w="2294" w:type="dxa"/>
            <w:shd w:val="clear" w:color="auto" w:fill="FFFFFF"/>
            <w:tcMar>
              <w:top w:w="180" w:type="dxa"/>
              <w:left w:w="270" w:type="dxa"/>
              <w:bottom w:w="180" w:type="dxa"/>
              <w:right w:w="270" w:type="dxa"/>
            </w:tcMar>
            <w:vAlign w:val="center"/>
          </w:tcPr>
          <w:p w14:paraId="7214E37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&gt;32G</w:t>
            </w:r>
          </w:p>
        </w:tc>
        <w:tc>
          <w:tcPr>
            <w:tcW w:w="2865" w:type="dxa"/>
            <w:shd w:val="clear" w:color="auto" w:fill="FFFFFF"/>
            <w:tcMar>
              <w:top w:w="180" w:type="dxa"/>
              <w:left w:w="270" w:type="dxa"/>
              <w:bottom w:w="180" w:type="dxa"/>
              <w:right w:w="270" w:type="dxa"/>
            </w:tcMar>
            <w:vAlign w:val="center"/>
          </w:tcPr>
          <w:p w14:paraId="65C562A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8b</w:t>
            </w:r>
          </w:p>
        </w:tc>
      </w:tr>
      <w:tr w14:paraId="112F957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restart"/>
            <w:shd w:val="clear" w:color="auto" w:fill="FFFFFF"/>
            <w:tcMar>
              <w:top w:w="180" w:type="dxa"/>
              <w:left w:w="270" w:type="dxa"/>
              <w:bottom w:w="180" w:type="dxa"/>
              <w:right w:w="270" w:type="dxa"/>
            </w:tcMar>
            <w:vAlign w:val="center"/>
          </w:tcPr>
          <w:p w14:paraId="52BAE9F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有显卡</w:t>
            </w:r>
          </w:p>
        </w:tc>
        <w:tc>
          <w:tcPr>
            <w:tcW w:w="2294" w:type="dxa"/>
            <w:shd w:val="clear" w:color="auto" w:fill="FFFFFF"/>
            <w:tcMar>
              <w:top w:w="180" w:type="dxa"/>
              <w:left w:w="270" w:type="dxa"/>
              <w:bottom w:w="180" w:type="dxa"/>
              <w:right w:w="270" w:type="dxa"/>
            </w:tcMar>
            <w:vAlign w:val="center"/>
          </w:tcPr>
          <w:p w14:paraId="351972E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2GB</w:t>
            </w:r>
          </w:p>
        </w:tc>
        <w:tc>
          <w:tcPr>
            <w:tcW w:w="2294" w:type="dxa"/>
            <w:shd w:val="clear" w:color="auto" w:fill="FFFFFF"/>
            <w:tcMar>
              <w:top w:w="180" w:type="dxa"/>
              <w:left w:w="270" w:type="dxa"/>
              <w:bottom w:w="180" w:type="dxa"/>
              <w:right w:w="270" w:type="dxa"/>
            </w:tcMar>
            <w:vAlign w:val="center"/>
          </w:tcPr>
          <w:p w14:paraId="3E7D8CE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&gt;8GB</w:t>
            </w:r>
          </w:p>
        </w:tc>
        <w:tc>
          <w:tcPr>
            <w:tcW w:w="2865" w:type="dxa"/>
            <w:shd w:val="clear" w:color="auto" w:fill="FFFFFF"/>
            <w:tcMar>
              <w:top w:w="180" w:type="dxa"/>
              <w:left w:w="270" w:type="dxa"/>
              <w:bottom w:w="180" w:type="dxa"/>
              <w:right w:w="270" w:type="dxa"/>
            </w:tcMar>
            <w:vAlign w:val="center"/>
          </w:tcPr>
          <w:p w14:paraId="7004615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1.7b</w:t>
            </w:r>
          </w:p>
        </w:tc>
      </w:tr>
      <w:tr w14:paraId="168C65C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continue"/>
            <w:shd w:val="clear" w:color="auto" w:fill="FFFFFF"/>
            <w:tcMar>
              <w:top w:w="180" w:type="dxa"/>
              <w:left w:w="270" w:type="dxa"/>
              <w:bottom w:w="180" w:type="dxa"/>
              <w:right w:w="270" w:type="dxa"/>
            </w:tcMar>
            <w:vAlign w:val="center"/>
          </w:tcPr>
          <w:p w14:paraId="265DA71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25CA080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4GB</w:t>
            </w:r>
          </w:p>
        </w:tc>
        <w:tc>
          <w:tcPr>
            <w:tcW w:w="2294" w:type="dxa"/>
            <w:shd w:val="clear" w:color="auto" w:fill="FFFFFF"/>
            <w:tcMar>
              <w:top w:w="180" w:type="dxa"/>
              <w:left w:w="270" w:type="dxa"/>
              <w:bottom w:w="180" w:type="dxa"/>
              <w:right w:w="270" w:type="dxa"/>
            </w:tcMar>
            <w:vAlign w:val="center"/>
          </w:tcPr>
          <w:p w14:paraId="1C105BEA">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&gt;8GB</w:t>
            </w:r>
          </w:p>
        </w:tc>
        <w:tc>
          <w:tcPr>
            <w:tcW w:w="2865" w:type="dxa"/>
            <w:shd w:val="clear" w:color="auto" w:fill="FFFFFF"/>
            <w:tcMar>
              <w:top w:w="180" w:type="dxa"/>
              <w:left w:w="270" w:type="dxa"/>
              <w:bottom w:w="180" w:type="dxa"/>
              <w:right w:w="270" w:type="dxa"/>
            </w:tcMar>
            <w:vAlign w:val="center"/>
          </w:tcPr>
          <w:p w14:paraId="7A9C398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4b</w:t>
            </w:r>
          </w:p>
        </w:tc>
      </w:tr>
      <w:tr w14:paraId="762827D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02" w:type="dxa"/>
            <w:vMerge w:val="continue"/>
            <w:shd w:val="clear" w:color="auto" w:fill="FFFFFF"/>
            <w:tcMar>
              <w:top w:w="180" w:type="dxa"/>
              <w:left w:w="270" w:type="dxa"/>
              <w:bottom w:w="180" w:type="dxa"/>
              <w:right w:w="270" w:type="dxa"/>
            </w:tcMar>
            <w:vAlign w:val="center"/>
          </w:tcPr>
          <w:p w14:paraId="690DCED2">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0EA8D24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6GB~8GB</w:t>
            </w:r>
          </w:p>
        </w:tc>
        <w:tc>
          <w:tcPr>
            <w:tcW w:w="2294" w:type="dxa"/>
            <w:shd w:val="clear" w:color="auto" w:fill="FFFFFF"/>
            <w:tcMar>
              <w:top w:w="180" w:type="dxa"/>
              <w:left w:w="270" w:type="dxa"/>
              <w:bottom w:w="180" w:type="dxa"/>
              <w:right w:w="270" w:type="dxa"/>
            </w:tcMar>
            <w:vAlign w:val="center"/>
          </w:tcPr>
          <w:p w14:paraId="5AC1CF5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&gt;16GB</w:t>
            </w:r>
          </w:p>
        </w:tc>
        <w:tc>
          <w:tcPr>
            <w:tcW w:w="2865" w:type="dxa"/>
            <w:shd w:val="clear" w:color="auto" w:fill="FFFFFF"/>
            <w:tcMar>
              <w:top w:w="180" w:type="dxa"/>
              <w:left w:w="270" w:type="dxa"/>
              <w:bottom w:w="180" w:type="dxa"/>
              <w:right w:w="270" w:type="dxa"/>
            </w:tcMar>
            <w:vAlign w:val="center"/>
          </w:tcPr>
          <w:p w14:paraId="0542A8E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8b</w:t>
            </w:r>
          </w:p>
        </w:tc>
      </w:tr>
      <w:tr w14:paraId="05649C7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jc w:val="center"/>
        </w:trPr>
        <w:tc>
          <w:tcPr>
            <w:tcW w:w="1402" w:type="dxa"/>
            <w:vMerge w:val="continue"/>
            <w:shd w:val="clear" w:color="auto" w:fill="FFFFFF"/>
            <w:tcMar>
              <w:top w:w="180" w:type="dxa"/>
              <w:left w:w="270" w:type="dxa"/>
              <w:bottom w:w="180" w:type="dxa"/>
              <w:right w:w="270" w:type="dxa"/>
            </w:tcMar>
            <w:vAlign w:val="center"/>
          </w:tcPr>
          <w:p w14:paraId="195B5B9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ascii="宋体" w:hAnsi="宋体" w:eastAsia="宋体" w:cs="宋体"/>
                <w:b w:val="0"/>
                <w:bCs w:val="0"/>
                <w:i w:val="0"/>
                <w:iCs w:val="0"/>
                <w:caps w:val="0"/>
                <w:color w:val="000000"/>
                <w:spacing w:val="0"/>
                <w:kern w:val="0"/>
                <w:sz w:val="18"/>
                <w:szCs w:val="18"/>
                <w:shd w:val="clear" w:fill="FFFFFF"/>
                <w:lang w:val="en-US" w:eastAsia="zh-CN" w:bidi="ar"/>
              </w:rPr>
            </w:pPr>
          </w:p>
        </w:tc>
        <w:tc>
          <w:tcPr>
            <w:tcW w:w="2294" w:type="dxa"/>
            <w:shd w:val="clear" w:color="auto" w:fill="FFFFFF"/>
            <w:tcMar>
              <w:top w:w="180" w:type="dxa"/>
              <w:left w:w="270" w:type="dxa"/>
              <w:bottom w:w="180" w:type="dxa"/>
              <w:right w:w="270" w:type="dxa"/>
            </w:tcMar>
            <w:vAlign w:val="center"/>
          </w:tcPr>
          <w:p w14:paraId="68021E5F">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&gt;8GB</w:t>
            </w:r>
          </w:p>
        </w:tc>
        <w:tc>
          <w:tcPr>
            <w:tcW w:w="2294" w:type="dxa"/>
            <w:shd w:val="clear" w:color="auto" w:fill="FFFFFF"/>
            <w:tcMar>
              <w:top w:w="180" w:type="dxa"/>
              <w:left w:w="270" w:type="dxa"/>
              <w:bottom w:w="180" w:type="dxa"/>
              <w:right w:w="270" w:type="dxa"/>
            </w:tcMar>
            <w:vAlign w:val="center"/>
          </w:tcPr>
          <w:p w14:paraId="1BF3D7F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&gt;32GB</w:t>
            </w:r>
          </w:p>
        </w:tc>
        <w:tc>
          <w:tcPr>
            <w:tcW w:w="2865" w:type="dxa"/>
            <w:shd w:val="clear" w:color="auto" w:fill="FFFFFF"/>
            <w:tcMar>
              <w:top w:w="180" w:type="dxa"/>
              <w:left w:w="270" w:type="dxa"/>
              <w:bottom w:w="180" w:type="dxa"/>
              <w:right w:w="270" w:type="dxa"/>
            </w:tcMar>
            <w:vAlign w:val="center"/>
          </w:tcPr>
          <w:p w14:paraId="1AEB6AF8">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ascii="宋体" w:hAnsi="宋体" w:eastAsia="宋体" w:cs="宋体"/>
                <w:b w:val="0"/>
                <w:bCs w:val="0"/>
                <w:i w:val="0"/>
                <w:iCs w:val="0"/>
                <w:caps w:val="0"/>
                <w:color w:val="000000"/>
                <w:spacing w:val="0"/>
                <w:kern w:val="0"/>
                <w:sz w:val="18"/>
                <w:szCs w:val="18"/>
                <w:shd w:val="clear" w:fill="FFFFFF"/>
                <w:lang w:val="en-US" w:eastAsia="zh-CN" w:bidi="ar"/>
              </w:rPr>
            </w:pPr>
            <w:r>
              <w:rPr>
                <w:rFonts w:hint="eastAsia" w:ascii="宋体" w:hAnsi="宋体" w:eastAsia="宋体" w:cs="宋体"/>
                <w:b w:val="0"/>
                <w:bCs w:val="0"/>
                <w:i w:val="0"/>
                <w:iCs w:val="0"/>
                <w:caps w:val="0"/>
                <w:color w:val="000000"/>
                <w:spacing w:val="0"/>
                <w:kern w:val="0"/>
                <w:sz w:val="18"/>
                <w:szCs w:val="18"/>
                <w:shd w:val="clear" w:fill="FFFFFF"/>
                <w:lang w:val="en-US" w:eastAsia="zh-CN" w:bidi="ar"/>
              </w:rPr>
              <w:t>14b</w:t>
            </w:r>
          </w:p>
        </w:tc>
      </w:tr>
    </w:tbl>
    <w:p w14:paraId="51819B65">
      <w:pPr>
        <w:ind w:left="0" w:leftChars="0" w:firstLine="0" w:firstLineChars="0"/>
        <w:rPr>
          <w:rFonts w:hint="eastAsia" w:ascii="宋体" w:hAnsi="宋体" w:eastAsia="宋体" w:cs="宋体"/>
          <w:i w:val="0"/>
          <w:iCs w:val="0"/>
          <w:caps w:val="0"/>
          <w:spacing w:val="0"/>
          <w:kern w:val="0"/>
          <w:sz w:val="21"/>
          <w:szCs w:val="21"/>
          <w:shd w:val="clear" w:fill="FFFFFF"/>
          <w:lang w:val="en-US" w:eastAsia="zh-CN" w:bidi="ar"/>
        </w:rPr>
      </w:pPr>
    </w:p>
    <w:p w14:paraId="063881A7">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追求算力硬件性能极致发挥的细分赛道上中国科研人员从未止步，Ktransformers开源框架便是其中的优秀代表作之一，它支持低成本部署DeepSeek满血版。国产硬件厂商也在快速发展如华为昇腾、寒武纪、天数、海光、瑞莎Radxa边缘计算盒子，为我们搭建私有化独立部署的算力硬件环境提供了更多选择。</w:t>
      </w:r>
    </w:p>
    <w:p w14:paraId="52CF1D73">
      <w:pPr>
        <w:widowControl w:val="0"/>
        <w:adjustRightInd/>
        <w:spacing w:line="332" w:lineRule="atLeast"/>
        <w:ind w:firstLine="420"/>
        <w:jc w:val="both"/>
        <w:textAlignment w:val="auto"/>
        <w:rPr>
          <w:rFonts w:hint="eastAsia" w:ascii="宋体" w:hAnsi="宋体" w:eastAsia="宋体" w:cs="宋体"/>
          <w:b/>
          <w:bCs/>
          <w:i w:val="0"/>
          <w:iCs w:val="0"/>
          <w:caps w:val="0"/>
          <w:spacing w:val="0"/>
          <w:kern w:val="0"/>
          <w:sz w:val="21"/>
          <w:szCs w:val="21"/>
          <w:shd w:val="clear" w:fill="FFFFFF"/>
          <w:lang w:val="en-US" w:eastAsia="zh-CN" w:bidi="ar"/>
        </w:rPr>
      </w:pPr>
      <w:r>
        <w:rPr>
          <w:rFonts w:hint="eastAsia" w:ascii="Times New Roman" w:hAnsi="Times New Roman" w:eastAsia="宋体" w:cs="Times New Roman"/>
          <w:kern w:val="2"/>
          <w:sz w:val="21"/>
          <w:lang w:val="en-US" w:eastAsia="zh-CN" w:bidi="ar-SA"/>
        </w:rPr>
        <w:t>教研机构为数据安全或独立孵化学科专业大模型等考虑，在私有化独立部署大语言模型的技术选型过程中，势必会遇到选择开源还是闭源的问题，其实AI产品开源与闭源之争本质是“效率与控制”的权衡，目前的趋势是开源与闭源协同进化，如开源基金会主导生态，通过中立机构协调机构与社区的利益，降低开源碎片化风险。闭源厂商拥抱开源社区形成“闭源服务+开源生态”的混合模式。隐私计算与开源协同如开源隐私计算框架与闭源数据结合，实现“算法开源+数据闭源”的合规方案。这些混合协同发展模式的兴起，正推动AI从开源和闭源的“非此即彼”走向“动态平衡”，通过开源构建技术生态壁垒，同时用闭源服务实现商业价值的可靠闭环。</w:t>
      </w:r>
    </w:p>
    <w:p w14:paraId="0BDF2B8B">
      <w:pPr>
        <w:pStyle w:val="23"/>
        <w:numPr>
          <w:ilvl w:val="0"/>
          <w:numId w:val="0"/>
        </w:numPr>
        <w:bidi w:val="0"/>
        <w:ind w:leftChars="0"/>
        <w:outlineLvl w:val="2"/>
        <w:rPr>
          <w:rFonts w:hint="eastAsia" w:ascii="Arial" w:hAnsi="Arial"/>
          <w:lang w:val="en-US" w:eastAsia="zh-CN"/>
        </w:rPr>
      </w:pPr>
      <w:r>
        <w:rPr>
          <w:rFonts w:hint="eastAsia"/>
          <w:lang w:val="en-US" w:eastAsia="zh-CN"/>
        </w:rPr>
        <w:t xml:space="preserve">1.5.3  </w:t>
      </w:r>
      <w:r>
        <w:rPr>
          <w:rFonts w:hint="eastAsia" w:ascii="Arial" w:hAnsi="Arial"/>
          <w:lang w:val="en-US" w:eastAsia="zh-CN"/>
        </w:rPr>
        <w:t>嵌入式AI工具的组合使用</w:t>
      </w:r>
    </w:p>
    <w:p w14:paraId="4847C48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嵌入式AI工具的核心特征在于其深度集成与场景化智能，它们将人工智能无缝编织进我们日常使用的软件和应用中，提供即时、精准的辅助，显著提升效率和体验。这些工具的特点是开箱即用、操作自然、响应迅速，专注于解决特定场景下的高频需求。</w:t>
      </w:r>
    </w:p>
    <w:p w14:paraId="2FC46F5C">
      <w:pPr>
        <w:widowControl w:val="0"/>
        <w:adjustRightInd/>
        <w:spacing w:line="332" w:lineRule="atLeast"/>
        <w:ind w:firstLine="420"/>
        <w:jc w:val="both"/>
        <w:textAlignment w:val="auto"/>
        <w:rPr>
          <w:rFonts w:hint="default" w:ascii="Times New Roman" w:hAnsi="Times New Roman" w:eastAsia="宋体" w:cs="Times New Roman"/>
          <w:kern w:val="2"/>
          <w:sz w:val="21"/>
          <w:highlight w:val="yellow"/>
          <w:lang w:val="en-US" w:eastAsia="zh-CN" w:bidi="ar-SA"/>
        </w:rPr>
      </w:pPr>
      <w:r>
        <w:rPr>
          <w:rFonts w:hint="eastAsia" w:ascii="Times New Roman" w:hAnsi="Times New Roman" w:eastAsia="宋体" w:cs="Times New Roman"/>
          <w:kern w:val="2"/>
          <w:sz w:val="21"/>
          <w:lang w:val="en-US" w:eastAsia="zh-CN" w:bidi="ar-SA"/>
        </w:rPr>
        <w:t>例如AI嵌入办公软件如WPS、360AI办公，AI浏览器如豆包浏览器、Comet浏览器、AI魔方浏览器，AI输入法如搜狗输入法、百度输入法、讯飞输入法、AI魔方输入法等。</w:t>
      </w:r>
      <w:r>
        <w:rPr>
          <w:rFonts w:hint="eastAsia" w:ascii="Times New Roman" w:hAnsi="Times New Roman" w:eastAsia="宋体" w:cs="Times New Roman"/>
          <w:kern w:val="2"/>
          <w:sz w:val="21"/>
          <w:highlight w:val="none"/>
          <w:lang w:val="en-US" w:eastAsia="zh-CN" w:bidi="ar-SA"/>
        </w:rPr>
        <w:t>这些工具往往适用于不同的场景，通过工作流（如支持MCP等协议）或简单的分屏搭配组合，能更进一步提升人机交互的效率。如WPS与豆包浏览器通过左右分屏实现同步使用，AI魔方搜索RAG和自带浏览器分屏联动、笔记与独立AI分屏协同也能有效提升知识管理和办公效率。更多妙用我们将在本书电子版与您分享。</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6"/>
        <w:gridCol w:w="7020"/>
      </w:tblGrid>
      <w:tr w14:paraId="1227FD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2" w:type="dxa"/>
          </w:tcPr>
          <w:p w14:paraId="288011B3">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1704340" cy="1367790"/>
                  <wp:effectExtent l="0" t="0" r="10160" b="3810"/>
                  <wp:docPr id="31" name="图片 31" descr="1-12分屏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12分屏操作"/>
                          <pic:cNvPicPr>
                            <a:picLocks noChangeAspect="1"/>
                          </pic:cNvPicPr>
                        </pic:nvPicPr>
                        <pic:blipFill>
                          <a:blip r:embed="rId18"/>
                          <a:stretch>
                            <a:fillRect/>
                          </a:stretch>
                        </pic:blipFill>
                        <pic:spPr>
                          <a:xfrm>
                            <a:off x="0" y="0"/>
                            <a:ext cx="1704340" cy="1367790"/>
                          </a:xfrm>
                          <a:prstGeom prst="rect">
                            <a:avLst/>
                          </a:prstGeom>
                        </pic:spPr>
                      </pic:pic>
                    </a:graphicData>
                  </a:graphic>
                </wp:inline>
              </w:drawing>
            </w:r>
          </w:p>
          <w:p w14:paraId="5619BE01">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 xml:space="preserve">12 </w:t>
            </w:r>
            <w:r>
              <w:rPr>
                <w:rFonts w:hint="eastAsia"/>
                <w:sz w:val="18"/>
                <w:szCs w:val="18"/>
                <w:lang w:val="en-US" w:eastAsia="zh-CN"/>
              </w:rPr>
              <w:t>分屏操作</w:t>
            </w:r>
          </w:p>
        </w:tc>
        <w:tc>
          <w:tcPr>
            <w:tcW w:w="5044" w:type="dxa"/>
          </w:tcPr>
          <w:p w14:paraId="1D5BB24A">
            <w:pPr>
              <w:ind w:left="0" w:leftChars="0" w:firstLine="0" w:firstLineChars="0"/>
              <w:jc w:val="center"/>
              <w:rPr>
                <w:rFonts w:hint="eastAsia" w:ascii="宋体" w:hAnsi="宋体" w:eastAsia="宋体" w:cs="宋体"/>
                <w:sz w:val="18"/>
                <w:szCs w:val="18"/>
                <w:highlight w:val="none"/>
                <w:lang w:eastAsia="zh-CN"/>
              </w:rPr>
            </w:pPr>
            <w:r>
              <w:rPr>
                <w:rFonts w:hint="eastAsia" w:ascii="宋体" w:hAnsi="宋体" w:eastAsia="宋体" w:cs="宋体"/>
                <w:sz w:val="18"/>
                <w:szCs w:val="18"/>
                <w:highlight w:val="none"/>
                <w:lang w:eastAsia="zh-CN"/>
              </w:rPr>
              <w:drawing>
                <wp:inline distT="0" distB="0" distL="114300" distR="114300">
                  <wp:extent cx="4404360" cy="1367790"/>
                  <wp:effectExtent l="0" t="0" r="15240" b="3810"/>
                  <wp:docPr id="33" name="图片 33" descr="1-13wps分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13wps分屏"/>
                          <pic:cNvPicPr>
                            <a:picLocks noChangeAspect="1"/>
                          </pic:cNvPicPr>
                        </pic:nvPicPr>
                        <pic:blipFill>
                          <a:blip r:embed="rId19"/>
                          <a:stretch>
                            <a:fillRect/>
                          </a:stretch>
                        </pic:blipFill>
                        <pic:spPr>
                          <a:xfrm>
                            <a:off x="0" y="0"/>
                            <a:ext cx="4404360" cy="1367790"/>
                          </a:xfrm>
                          <a:prstGeom prst="rect">
                            <a:avLst/>
                          </a:prstGeom>
                        </pic:spPr>
                      </pic:pic>
                    </a:graphicData>
                  </a:graphic>
                </wp:inline>
              </w:drawing>
            </w:r>
          </w:p>
          <w:p w14:paraId="465B4F5B">
            <w:pPr>
              <w:ind w:left="0" w:leftChars="0" w:firstLine="0" w:firstLineChars="0"/>
              <w:jc w:val="center"/>
              <w:rPr>
                <w:rFonts w:hint="default" w:ascii="宋体" w:hAnsi="宋体" w:eastAsia="宋体" w:cs="宋体"/>
                <w:sz w:val="18"/>
                <w:szCs w:val="18"/>
                <w:highlight w:val="none"/>
                <w:lang w:val="en-US"/>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13 Deepseek网页版（左）与WPS（右）两个软件</w:t>
            </w:r>
            <w:r>
              <w:rPr>
                <w:rFonts w:hint="eastAsia"/>
                <w:sz w:val="18"/>
                <w:szCs w:val="18"/>
                <w:lang w:val="en-US" w:eastAsia="zh-CN"/>
              </w:rPr>
              <w:t>分屏协同</w:t>
            </w:r>
          </w:p>
        </w:tc>
      </w:tr>
      <w:tr w14:paraId="3EA8D6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gridSpan w:val="2"/>
          </w:tcPr>
          <w:p w14:paraId="605AE5DE">
            <w:pPr>
              <w:ind w:left="0" w:leftChars="0" w:firstLine="0" w:firstLineChars="0"/>
              <w:jc w:val="center"/>
              <w:rPr>
                <w:rFonts w:hint="eastAsia" w:ascii="宋体" w:hAnsi="宋体" w:eastAsia="宋体" w:cs="宋体"/>
                <w:sz w:val="18"/>
                <w:szCs w:val="18"/>
                <w:highlight w:val="none"/>
                <w:lang w:eastAsia="zh-CN"/>
              </w:rPr>
            </w:pPr>
            <w:r>
              <w:rPr>
                <w:rFonts w:hint="eastAsia" w:ascii="宋体" w:hAnsi="宋体" w:eastAsia="宋体" w:cs="宋体"/>
                <w:sz w:val="18"/>
                <w:szCs w:val="18"/>
                <w:highlight w:val="none"/>
                <w:lang w:eastAsia="zh-CN"/>
              </w:rPr>
              <w:drawing>
                <wp:inline distT="0" distB="0" distL="114300" distR="114300">
                  <wp:extent cx="6118860" cy="1827530"/>
                  <wp:effectExtent l="0" t="0" r="15240" b="1270"/>
                  <wp:docPr id="35" name="图片 35" descr="1-14AI魔方分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14AI魔方分屏"/>
                          <pic:cNvPicPr>
                            <a:picLocks noChangeAspect="1"/>
                          </pic:cNvPicPr>
                        </pic:nvPicPr>
                        <pic:blipFill>
                          <a:blip r:embed="rId20"/>
                          <a:stretch>
                            <a:fillRect/>
                          </a:stretch>
                        </pic:blipFill>
                        <pic:spPr>
                          <a:xfrm>
                            <a:off x="0" y="0"/>
                            <a:ext cx="6118860" cy="1827530"/>
                          </a:xfrm>
                          <a:prstGeom prst="rect">
                            <a:avLst/>
                          </a:prstGeom>
                        </pic:spPr>
                      </pic:pic>
                    </a:graphicData>
                  </a:graphic>
                </wp:inline>
              </w:drawing>
            </w:r>
          </w:p>
          <w:p w14:paraId="6315378B">
            <w:pPr>
              <w:ind w:left="0" w:leftChars="0" w:firstLine="0" w:firstLineChars="0"/>
              <w:jc w:val="center"/>
              <w:rPr>
                <w:rFonts w:hint="default" w:ascii="宋体" w:hAnsi="宋体" w:eastAsia="宋体" w:cs="宋体"/>
                <w:sz w:val="18"/>
                <w:szCs w:val="18"/>
                <w:highlight w:val="none"/>
                <w:lang w:val="en-US"/>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1</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14 Markdown笔记与AI浏览器一体化</w:t>
            </w:r>
            <w:r>
              <w:rPr>
                <w:rFonts w:hint="eastAsia"/>
                <w:sz w:val="18"/>
                <w:szCs w:val="18"/>
                <w:lang w:val="en-US" w:eastAsia="zh-CN"/>
              </w:rPr>
              <w:t>分屏协同——AI魔方</w:t>
            </w:r>
          </w:p>
        </w:tc>
      </w:tr>
    </w:tbl>
    <w:p w14:paraId="5956D35E">
      <w:pPr>
        <w:ind w:left="0" w:leftChars="0" w:firstLine="0" w:firstLineChars="0"/>
        <w:jc w:val="center"/>
        <w:rPr>
          <w:rFonts w:hint="eastAsia" w:ascii="宋体" w:hAnsi="宋体" w:eastAsia="宋体" w:cs="宋体"/>
          <w:i w:val="0"/>
          <w:iCs w:val="0"/>
          <w:caps w:val="0"/>
          <w:spacing w:val="0"/>
          <w:kern w:val="0"/>
          <w:sz w:val="21"/>
          <w:szCs w:val="21"/>
          <w:shd w:val="clear" w:fill="FFFFFF"/>
          <w:lang w:val="en-US" w:eastAsia="zh-CN" w:bidi="ar"/>
        </w:rPr>
      </w:pPr>
    </w:p>
    <w:p w14:paraId="22FD76DE">
      <w:pPr>
        <w:pStyle w:val="24"/>
        <w:numPr>
          <w:ilvl w:val="0"/>
          <w:numId w:val="0"/>
        </w:numPr>
        <w:bidi w:val="0"/>
        <w:ind w:leftChars="0"/>
        <w:rPr>
          <w:rFonts w:hint="eastAsia" w:eastAsia="楷体_GB2312"/>
          <w:lang w:val="en-US" w:eastAsia="zh-CN"/>
        </w:rPr>
      </w:pPr>
      <w:r>
        <w:rPr>
          <w:rFonts w:hint="eastAsia"/>
          <w:lang w:val="en-US" w:eastAsia="zh-CN"/>
        </w:rPr>
        <w:t>1.6</w:t>
      </w:r>
      <w:r>
        <w:rPr>
          <w:lang w:val="en-US" w:eastAsia="zh-CN"/>
        </w:rPr>
        <w:t xml:space="preserve">  </w:t>
      </w:r>
      <w:r>
        <w:rPr>
          <w:rFonts w:hint="eastAsia" w:eastAsia="楷体_GB2312"/>
          <w:lang w:val="en-US" w:eastAsia="zh-CN"/>
        </w:rPr>
        <w:t>AIGC的发展挑战与伦理问题</w:t>
      </w:r>
    </w:p>
    <w:p w14:paraId="127FE92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人工智能文生文工具在信息可靠性层面面临的核心挑战主要体现为“幻觉”现象与知识滞后两大问题。当前生成式AI模型存在三方面核心局限：首先，幻觉问题源于训练数据偏差及概率推断误差，导致输出内容偏离客观事实。由于缺乏内在事实验证机制，模型易受错误数据或异常语义关联影响而将虚构信息合理化输出，需依赖人工审核或知识图谱校准。其次，知识滞后受限于训练数据时效性（通常截至特定时间点），无法获取后续新增知识或信息修正，在动态领域易产生过时结论。</w:t>
      </w:r>
    </w:p>
    <w:p w14:paraId="628B63B6">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伦理层面AI也存在虚假信息传播风险，如AI生成的高度自洽伪造内容可能引发舆论危机，同时大规模AI生成将导致创作同质化，我们认为AI进化依赖高认知人类创造的高质量内容数据，同质化信息无法支撑高质量发展。技术层面，长文本生成仍存在逻辑断层需人工修正且当前模型在情感表达与创意深度上局限于模仿，难以替代具备思想深度的原创作品。</w:t>
      </w:r>
    </w:p>
    <w:p w14:paraId="5D97F7ED">
      <w:pPr>
        <w:widowControl w:val="0"/>
        <w:adjustRightInd/>
        <w:spacing w:line="332" w:lineRule="atLeast"/>
        <w:ind w:firstLine="420"/>
        <w:jc w:val="both"/>
        <w:textAlignment w:val="auto"/>
        <w:rPr>
          <w:rFonts w:hint="default"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下一代世界模型（World Model）有可能会让AI产生质的飞跃，但目前大语言模型仍然不能理解我们所处的物理世界，可以大胆地认定AI仅仅是通过Token的预测来“鹦鹉学舌”，虽然已经足够成为生产力工具，但绝非可以取代人类的独立智能。</w:t>
      </w:r>
    </w:p>
    <w:p w14:paraId="4D9FC80B">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从AI发展的生命周期来看，基于人类已有公开数据的预训练阶段即将结束，下一阶段发展的趋势中，在教研领域是基于高质量专业私域数据训练的学科专业大模型的发展期，这些高质量私域数据通过构建本地知识库和算力等配套环境，可以更好地服务专业人群，更重要的是通过高素质高认知人群使用而产生和甄别的优质数据，能更好地促进专业大模型迭代进化发展。</w:t>
      </w:r>
    </w:p>
    <w:p w14:paraId="4CAF0D5C">
      <w:pPr>
        <w:pStyle w:val="12"/>
        <w:keepNext w:val="0"/>
        <w:keepLines w:val="0"/>
        <w:widowControl/>
        <w:suppressLineNumbers w:val="0"/>
        <w:ind w:left="0" w:leftChars="0" w:firstLine="0" w:firstLineChars="0"/>
        <w:rPr>
          <w:rFonts w:hint="eastAsia" w:ascii="Arial" w:hAnsi="Arial" w:eastAsia="黑体" w:cs="Arial"/>
          <w:b w:val="0"/>
          <w:bCs/>
          <w:kern w:val="0"/>
          <w:sz w:val="28"/>
          <w:szCs w:val="27"/>
          <w:lang w:val="en-US" w:eastAsia="zh-CN" w:bidi="he-IL"/>
        </w:rPr>
      </w:pPr>
      <w:r>
        <w:rPr>
          <w:rFonts w:hint="eastAsia" w:ascii="Times New Roman" w:hAnsi="Times New Roman" w:eastAsia="楷体_GB2312" w:cs="Times New Roman"/>
          <w:b/>
          <w:color w:val="000000"/>
          <w:kern w:val="2"/>
          <w:sz w:val="36"/>
          <w:szCs w:val="28"/>
          <w:lang w:val="en-US" w:eastAsia="zh-CN" w:bidi="ar-SA"/>
        </w:rPr>
        <w:t>1.7 案例：基于AIGC生成《美联储加息政策影响分析报告》</w:t>
      </w:r>
      <w:r>
        <w:br w:type="textWrapping"/>
      </w:r>
      <w:r>
        <w:rPr>
          <w:rFonts w:hint="eastAsia" w:ascii="Arial" w:hAnsi="Arial" w:eastAsia="黑体" w:cs="Arial"/>
          <w:b w:val="0"/>
          <w:bCs/>
          <w:kern w:val="0"/>
          <w:sz w:val="28"/>
          <w:szCs w:val="27"/>
          <w:lang w:val="en-US" w:eastAsia="zh-CN" w:bidi="he-IL"/>
        </w:rPr>
        <w:t> 1.7.1 案例背景与研究问题设计</w:t>
      </w:r>
    </w:p>
    <w:p w14:paraId="6A1721D4">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美联储的货币政策作为全球经济的重要风向标，其调整对包括中国在内的新兴市场国家具有显著的外溢效应。在2022至2024年间，美联储多轮加息导致国际资本流动波动性显著上升，也引发了中国资本市场投资者对外部冲击的高度敏感关注。A股市场作为中国证券市场的核心组成部分，其对美联储加息的短期反应特征、长期传导机制与行业异质性表现，均为值得深入研究的议题。本案例以《美联储加息政策对中国A股市场波动的影响》为研究主题，模拟一位经管专业同学在论文写作初期，如何运用AIGC工具完成从选题构思、研究设计、数据准备到成果展示的一整套科研流程。通过该案例，旨在训练学生将抽象研究问题具体化、结构化，并掌握将AIGC技术嵌入实际科研任务的能力。</w:t>
      </w:r>
    </w:p>
    <w:p w14:paraId="7749E973">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具体研究问题设计如下：</w:t>
      </w:r>
    </w:p>
    <w:p w14:paraId="24E2ADBB">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美联储加息事件是否在统计上显著影响了A股市场的波动率？</w:t>
      </w:r>
    </w:p>
    <w:p w14:paraId="600022E6">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该传导机制是否主要通过汇率、利率预期或投资者情绪传递？</w:t>
      </w:r>
    </w:p>
    <w:p w14:paraId="235B0456">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A股不同板块（如中小盘 vs. 大盘股、金融 vs. 科技板块）是否呈现异质性响应？</w:t>
      </w:r>
    </w:p>
    <w:p w14:paraId="04C5442E">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能否基于历史数据生成政策冲击与市场反应之间的量化模型？</w:t>
      </w:r>
    </w:p>
    <w:p w14:paraId="1E5B3B09">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基于以上问题，本案例设定如下研究假设以供模型生成与验证：</w:t>
      </w:r>
    </w:p>
    <w:p w14:paraId="083D4727">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H1：美联储加息当周内，A股主要指数波动率显著上升；</w:t>
      </w:r>
    </w:p>
    <w:p w14:paraId="4858B0BE">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H2：人民币兑美元汇率为影响路径中的中介变量；</w:t>
      </w:r>
    </w:p>
    <w:p w14:paraId="431697C9">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rPr>
      </w:pPr>
      <w:r>
        <w:rPr>
          <w:rFonts w:hint="eastAsia" w:ascii="Times New Roman" w:hAnsi="Times New Roman" w:eastAsia="宋体" w:cs="Times New Roman"/>
          <w:kern w:val="2"/>
          <w:sz w:val="21"/>
          <w:szCs w:val="24"/>
          <w:lang w:val="en-US" w:eastAsia="zh-CN" w:bidi="ar-SA"/>
        </w:rPr>
        <w:t>H3：成长型板块对加息冲击更为敏感。</w:t>
      </w:r>
    </w:p>
    <w:p w14:paraId="4A3A5176">
      <w:pPr>
        <w:pStyle w:val="12"/>
        <w:keepNext w:val="0"/>
        <w:keepLines w:val="0"/>
        <w:widowControl/>
        <w:suppressLineNumbers w:val="0"/>
        <w:ind w:left="0" w:leftChars="0" w:firstLine="280" w:firstLineChars="100"/>
        <w:rPr>
          <w:rFonts w:hint="eastAsia" w:ascii="Arial" w:hAnsi="Arial" w:eastAsia="黑体" w:cs="Arial"/>
          <w:b w:val="0"/>
          <w:bCs/>
          <w:kern w:val="0"/>
          <w:sz w:val="28"/>
          <w:szCs w:val="27"/>
          <w:lang w:val="en-US" w:eastAsia="zh-CN" w:bidi="he-IL"/>
        </w:rPr>
      </w:pPr>
      <w:r>
        <w:rPr>
          <w:rFonts w:hint="eastAsia" w:ascii="Arial" w:hAnsi="Arial" w:eastAsia="黑体" w:cs="Arial"/>
          <w:b w:val="0"/>
          <w:bCs/>
          <w:kern w:val="0"/>
          <w:sz w:val="28"/>
          <w:szCs w:val="27"/>
          <w:lang w:val="en-US" w:eastAsia="zh-CN" w:bidi="he-IL"/>
        </w:rPr>
        <w:t>1.7.2 工具与Prompt应用流程</w:t>
      </w:r>
    </w:p>
    <w:p w14:paraId="3C777206">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本案例选取当前广泛应用于科研辅助的中文AIGC工具进行组合式操作，包括智谱清言、讯飞星火、秘塔AI、百川智能助手及通义千问办公平台。每个工具在实际操作中承担不同任务，体现AIGC在科研流程各阶段的适配性与协同性。</w:t>
      </w:r>
    </w:p>
    <w:p w14:paraId="6DC1640E">
      <w:pPr>
        <w:widowControl w:val="0"/>
        <w:adjustRightInd w:val="0"/>
        <w:spacing w:before="152" w:beforeLines="50" w:line="332" w:lineRule="atLeast"/>
        <w:ind w:firstLine="0"/>
        <w:jc w:val="center"/>
        <w:textAlignment w:val="baseline"/>
        <w:rPr>
          <w:rFonts w:hint="default" w:ascii="宋体" w:hAnsi="宋体" w:eastAsia="宋体" w:cs="宋体"/>
          <w:i w:val="0"/>
          <w:iCs w:val="0"/>
          <w:caps w:val="0"/>
          <w:color w:val="FF0000"/>
          <w:spacing w:val="0"/>
          <w:kern w:val="0"/>
          <w:sz w:val="21"/>
          <w:szCs w:val="21"/>
          <w:shd w:val="clear" w:fill="FFFFFF"/>
          <w:lang w:val="en-US" w:eastAsia="zh-CN" w:bidi="ar"/>
        </w:rPr>
      </w:pPr>
      <w:r>
        <w:rPr>
          <w:rFonts w:hint="eastAsia" w:ascii="Arial" w:hAnsi="Arial" w:eastAsia="黑体" w:cs="Arial"/>
          <w:sz w:val="18"/>
          <w:lang w:val="en-US" w:eastAsia="zh-CN" w:bidi="ar-SA"/>
        </w:rPr>
        <w:t>表1-9  数据时效性对场景的影响</w:t>
      </w:r>
    </w:p>
    <w:tbl>
      <w:tblPr>
        <w:tblStyle w:val="13"/>
        <w:tblW w:w="810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17"/>
        <w:gridCol w:w="1417"/>
        <w:gridCol w:w="2835"/>
        <w:gridCol w:w="2438"/>
      </w:tblGrid>
      <w:tr w14:paraId="60DD561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90" w:hRule="atLeast"/>
          <w:tblHeader/>
          <w:jc w:val="center"/>
        </w:trPr>
        <w:tc>
          <w:tcPr>
            <w:tcW w:w="1417" w:type="dxa"/>
            <w:tcBorders>
              <w:left w:val="nil"/>
            </w:tcBorders>
            <w:shd w:val="clear" w:color="auto" w:fill="auto"/>
            <w:tcMar>
              <w:top w:w="90" w:type="dxa"/>
              <w:left w:w="135" w:type="dxa"/>
              <w:bottom w:w="90" w:type="dxa"/>
              <w:right w:w="135" w:type="dxa"/>
            </w:tcMar>
            <w:vAlign w:val="center"/>
          </w:tcPr>
          <w:p w14:paraId="4A7DCE2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rPr>
              <w:t>流程阶段</w:t>
            </w:r>
          </w:p>
        </w:tc>
        <w:tc>
          <w:tcPr>
            <w:tcW w:w="1417" w:type="dxa"/>
            <w:shd w:val="clear" w:color="auto" w:fill="auto"/>
            <w:tcMar>
              <w:top w:w="90" w:type="dxa"/>
              <w:left w:w="135" w:type="dxa"/>
              <w:bottom w:w="90" w:type="dxa"/>
              <w:right w:w="135" w:type="dxa"/>
            </w:tcMar>
            <w:vAlign w:val="center"/>
          </w:tcPr>
          <w:p w14:paraId="7C5BEC1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rPr>
              <w:t>工具名称</w:t>
            </w:r>
          </w:p>
        </w:tc>
        <w:tc>
          <w:tcPr>
            <w:tcW w:w="2835" w:type="dxa"/>
            <w:shd w:val="clear" w:color="auto" w:fill="auto"/>
            <w:tcMar>
              <w:top w:w="90" w:type="dxa"/>
              <w:left w:w="135" w:type="dxa"/>
              <w:bottom w:w="90" w:type="dxa"/>
              <w:right w:w="135" w:type="dxa"/>
            </w:tcMar>
            <w:vAlign w:val="center"/>
          </w:tcPr>
          <w:p w14:paraId="0B1ED05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rPr>
              <w:t>功能定位</w:t>
            </w:r>
          </w:p>
        </w:tc>
        <w:tc>
          <w:tcPr>
            <w:tcW w:w="2438" w:type="dxa"/>
            <w:tcBorders>
              <w:right w:val="nil"/>
            </w:tcBorders>
            <w:shd w:val="clear" w:color="auto" w:fill="auto"/>
            <w:tcMar>
              <w:top w:w="90" w:type="dxa"/>
              <w:left w:w="135" w:type="dxa"/>
              <w:bottom w:w="90" w:type="dxa"/>
              <w:right w:w="135" w:type="dxa"/>
            </w:tcMar>
            <w:vAlign w:val="center"/>
          </w:tcPr>
          <w:p w14:paraId="7974BF9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黑体" w:hAnsi="黑体" w:eastAsia="黑体" w:cs="黑体"/>
                <w:sz w:val="18"/>
                <w:szCs w:val="18"/>
                <w:lang w:val="en-US" w:eastAsia="zh-CN" w:bidi="ar-SA"/>
              </w:rPr>
            </w:pPr>
            <w:r>
              <w:rPr>
                <w:rFonts w:hint="eastAsia" w:ascii="黑体" w:hAnsi="黑体" w:eastAsia="黑体" w:cs="黑体"/>
                <w:sz w:val="18"/>
                <w:szCs w:val="18"/>
              </w:rPr>
              <w:t>示例Prompt</w:t>
            </w:r>
          </w:p>
        </w:tc>
      </w:tr>
      <w:tr w14:paraId="4A70798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17" w:type="dxa"/>
            <w:tcBorders>
              <w:left w:val="nil"/>
            </w:tcBorders>
            <w:shd w:val="clear" w:color="auto" w:fill="auto"/>
            <w:tcMar>
              <w:top w:w="90" w:type="dxa"/>
              <w:left w:w="135" w:type="dxa"/>
              <w:bottom w:w="90" w:type="dxa"/>
              <w:right w:w="135" w:type="dxa"/>
            </w:tcMar>
            <w:vAlign w:val="center"/>
          </w:tcPr>
          <w:p w14:paraId="1D8FC54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研究设计</w:t>
            </w:r>
          </w:p>
        </w:tc>
        <w:tc>
          <w:tcPr>
            <w:tcW w:w="1417" w:type="dxa"/>
            <w:shd w:val="clear" w:color="auto" w:fill="auto"/>
            <w:tcMar>
              <w:top w:w="90" w:type="dxa"/>
              <w:left w:w="135" w:type="dxa"/>
              <w:bottom w:w="90" w:type="dxa"/>
              <w:right w:w="135" w:type="dxa"/>
            </w:tcMar>
            <w:vAlign w:val="center"/>
          </w:tcPr>
          <w:p w14:paraId="7668B4E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智谱清言</w:t>
            </w:r>
          </w:p>
        </w:tc>
        <w:tc>
          <w:tcPr>
            <w:tcW w:w="2835" w:type="dxa"/>
            <w:shd w:val="clear" w:color="auto" w:fill="auto"/>
            <w:tcMar>
              <w:top w:w="90" w:type="dxa"/>
              <w:left w:w="135" w:type="dxa"/>
              <w:bottom w:w="90" w:type="dxa"/>
              <w:right w:w="135" w:type="dxa"/>
            </w:tcMar>
            <w:vAlign w:val="center"/>
          </w:tcPr>
          <w:p w14:paraId="3E067D9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自动生成选题背景与问题结构</w:t>
            </w:r>
          </w:p>
        </w:tc>
        <w:tc>
          <w:tcPr>
            <w:tcW w:w="2438" w:type="dxa"/>
            <w:tcBorders>
              <w:right w:val="nil"/>
            </w:tcBorders>
            <w:shd w:val="clear" w:color="auto" w:fill="FFFFFF"/>
            <w:tcMar>
              <w:top w:w="90" w:type="dxa"/>
              <w:left w:w="135" w:type="dxa"/>
              <w:bottom w:w="90" w:type="dxa"/>
              <w:right w:w="135" w:type="dxa"/>
            </w:tcMar>
            <w:vAlign w:val="center"/>
          </w:tcPr>
          <w:p w14:paraId="3792686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“请围绕‘美联储加息’与‘A股市场波动’生成研究背景、意义与假设”</w:t>
            </w:r>
          </w:p>
        </w:tc>
      </w:tr>
      <w:tr w14:paraId="5DC6390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17" w:type="dxa"/>
            <w:tcBorders>
              <w:left w:val="nil"/>
            </w:tcBorders>
            <w:shd w:val="clear" w:color="auto" w:fill="auto"/>
            <w:tcMar>
              <w:top w:w="90" w:type="dxa"/>
              <w:left w:w="135" w:type="dxa"/>
              <w:bottom w:w="90" w:type="dxa"/>
              <w:right w:w="135" w:type="dxa"/>
            </w:tcMar>
            <w:vAlign w:val="center"/>
          </w:tcPr>
          <w:p w14:paraId="42D3A6DD">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文献综述</w:t>
            </w:r>
          </w:p>
        </w:tc>
        <w:tc>
          <w:tcPr>
            <w:tcW w:w="1417" w:type="dxa"/>
            <w:shd w:val="clear" w:color="auto" w:fill="auto"/>
            <w:tcMar>
              <w:top w:w="90" w:type="dxa"/>
              <w:left w:w="135" w:type="dxa"/>
              <w:bottom w:w="90" w:type="dxa"/>
              <w:right w:w="135" w:type="dxa"/>
            </w:tcMar>
            <w:vAlign w:val="center"/>
          </w:tcPr>
          <w:p w14:paraId="07097F89">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讯飞星火</w:t>
            </w:r>
          </w:p>
        </w:tc>
        <w:tc>
          <w:tcPr>
            <w:tcW w:w="2835" w:type="dxa"/>
            <w:shd w:val="clear" w:color="auto" w:fill="auto"/>
            <w:tcMar>
              <w:top w:w="90" w:type="dxa"/>
              <w:left w:w="135" w:type="dxa"/>
              <w:bottom w:w="90" w:type="dxa"/>
              <w:right w:w="135" w:type="dxa"/>
            </w:tcMar>
            <w:vAlign w:val="center"/>
          </w:tcPr>
          <w:p w14:paraId="2E5BBD2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文献分类整理与综述段落撰写</w:t>
            </w:r>
          </w:p>
        </w:tc>
        <w:tc>
          <w:tcPr>
            <w:tcW w:w="2438" w:type="dxa"/>
            <w:tcBorders>
              <w:right w:val="nil"/>
            </w:tcBorders>
            <w:shd w:val="clear" w:color="auto" w:fill="auto"/>
            <w:tcMar>
              <w:top w:w="90" w:type="dxa"/>
              <w:left w:w="135" w:type="dxa"/>
              <w:bottom w:w="90" w:type="dxa"/>
              <w:right w:w="135" w:type="dxa"/>
            </w:tcMar>
            <w:vAlign w:val="center"/>
          </w:tcPr>
          <w:p w14:paraId="670432C4">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“请根据中国市场，撰写关于货币政策冲击的中文文献综述”</w:t>
            </w:r>
          </w:p>
        </w:tc>
      </w:tr>
      <w:tr w14:paraId="7C03967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17" w:type="dxa"/>
            <w:tcBorders>
              <w:left w:val="nil"/>
            </w:tcBorders>
            <w:shd w:val="clear" w:color="auto" w:fill="FFFFFF"/>
            <w:tcMar>
              <w:top w:w="90" w:type="dxa"/>
              <w:left w:w="135" w:type="dxa"/>
              <w:bottom w:w="90" w:type="dxa"/>
              <w:right w:w="135" w:type="dxa"/>
            </w:tcMar>
            <w:vAlign w:val="center"/>
          </w:tcPr>
          <w:p w14:paraId="6C1069F1">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数据分析</w:t>
            </w:r>
          </w:p>
        </w:tc>
        <w:tc>
          <w:tcPr>
            <w:tcW w:w="1417" w:type="dxa"/>
            <w:shd w:val="clear" w:color="auto" w:fill="auto"/>
            <w:tcMar>
              <w:top w:w="90" w:type="dxa"/>
              <w:left w:w="135" w:type="dxa"/>
              <w:bottom w:w="90" w:type="dxa"/>
              <w:right w:w="135" w:type="dxa"/>
            </w:tcMar>
            <w:vAlign w:val="center"/>
          </w:tcPr>
          <w:p w14:paraId="32213A1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百川助手</w:t>
            </w:r>
          </w:p>
        </w:tc>
        <w:tc>
          <w:tcPr>
            <w:tcW w:w="2835" w:type="dxa"/>
            <w:shd w:val="clear" w:color="auto" w:fill="auto"/>
            <w:tcMar>
              <w:top w:w="90" w:type="dxa"/>
              <w:left w:w="135" w:type="dxa"/>
              <w:bottom w:w="90" w:type="dxa"/>
              <w:right w:w="135" w:type="dxa"/>
            </w:tcMar>
            <w:vAlign w:val="center"/>
          </w:tcPr>
          <w:p w14:paraId="4D210B9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表格型金融数据分析与图表生成</w:t>
            </w:r>
          </w:p>
        </w:tc>
        <w:tc>
          <w:tcPr>
            <w:tcW w:w="2438" w:type="dxa"/>
            <w:tcBorders>
              <w:right w:val="nil"/>
            </w:tcBorders>
            <w:shd w:val="clear" w:color="auto" w:fill="auto"/>
            <w:tcMar>
              <w:top w:w="90" w:type="dxa"/>
              <w:left w:w="135" w:type="dxa"/>
              <w:bottom w:w="90" w:type="dxa"/>
              <w:right w:w="135" w:type="dxa"/>
            </w:tcMar>
            <w:vAlign w:val="center"/>
          </w:tcPr>
          <w:p w14:paraId="35AECE25">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“请分析CSV中加息日期与沪深300指数的相关性”</w:t>
            </w:r>
          </w:p>
        </w:tc>
      </w:tr>
      <w:tr w14:paraId="4919E36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jc w:val="center"/>
        </w:trPr>
        <w:tc>
          <w:tcPr>
            <w:tcW w:w="1417" w:type="dxa"/>
            <w:tcBorders>
              <w:left w:val="nil"/>
            </w:tcBorders>
            <w:shd w:val="clear" w:color="auto" w:fill="auto"/>
            <w:tcMar>
              <w:top w:w="90" w:type="dxa"/>
              <w:left w:w="135" w:type="dxa"/>
              <w:bottom w:w="90" w:type="dxa"/>
              <w:right w:w="135" w:type="dxa"/>
            </w:tcMar>
            <w:vAlign w:val="center"/>
          </w:tcPr>
          <w:p w14:paraId="0D014EFC">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降重润色</w:t>
            </w:r>
          </w:p>
        </w:tc>
        <w:tc>
          <w:tcPr>
            <w:tcW w:w="1417" w:type="dxa"/>
            <w:shd w:val="clear" w:color="auto" w:fill="FFFFFF"/>
            <w:tcMar>
              <w:top w:w="90" w:type="dxa"/>
              <w:left w:w="135" w:type="dxa"/>
              <w:bottom w:w="90" w:type="dxa"/>
              <w:right w:w="135" w:type="dxa"/>
            </w:tcMar>
            <w:vAlign w:val="center"/>
          </w:tcPr>
          <w:p w14:paraId="735D26F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秘塔AI写作</w:t>
            </w:r>
          </w:p>
        </w:tc>
        <w:tc>
          <w:tcPr>
            <w:tcW w:w="2835" w:type="dxa"/>
            <w:shd w:val="clear" w:color="auto" w:fill="auto"/>
            <w:tcMar>
              <w:top w:w="90" w:type="dxa"/>
              <w:left w:w="135" w:type="dxa"/>
              <w:bottom w:w="90" w:type="dxa"/>
              <w:right w:w="135" w:type="dxa"/>
            </w:tcMar>
            <w:vAlign w:val="center"/>
          </w:tcPr>
          <w:p w14:paraId="1FCB5D9E">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降重率控制、语法逻辑增强</w:t>
            </w:r>
          </w:p>
        </w:tc>
        <w:tc>
          <w:tcPr>
            <w:tcW w:w="2438" w:type="dxa"/>
            <w:tcBorders>
              <w:right w:val="nil"/>
            </w:tcBorders>
            <w:shd w:val="clear" w:color="auto" w:fill="auto"/>
            <w:tcMar>
              <w:top w:w="90" w:type="dxa"/>
              <w:left w:w="135" w:type="dxa"/>
              <w:bottom w:w="90" w:type="dxa"/>
              <w:right w:w="135" w:type="dxa"/>
            </w:tcMar>
            <w:vAlign w:val="center"/>
          </w:tcPr>
          <w:p w14:paraId="3F7552B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“请将以下段落改写为查重率&lt;15%的学术语言”</w:t>
            </w:r>
          </w:p>
        </w:tc>
      </w:tr>
      <w:tr w14:paraId="37BABB4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shd w:val="clear" w:color="auto" w:fill="auto"/>
          <w:tblCellMar>
            <w:top w:w="15" w:type="dxa"/>
            <w:left w:w="15" w:type="dxa"/>
            <w:bottom w:w="15" w:type="dxa"/>
            <w:right w:w="15" w:type="dxa"/>
          </w:tblCellMar>
        </w:tblPrEx>
        <w:trPr>
          <w:jc w:val="center"/>
        </w:trPr>
        <w:tc>
          <w:tcPr>
            <w:tcW w:w="1417" w:type="dxa"/>
            <w:tcBorders>
              <w:left w:val="nil"/>
            </w:tcBorders>
            <w:shd w:val="clear" w:color="auto" w:fill="auto"/>
            <w:tcMar>
              <w:top w:w="90" w:type="dxa"/>
              <w:left w:w="135" w:type="dxa"/>
              <w:bottom w:w="90" w:type="dxa"/>
              <w:right w:w="135" w:type="dxa"/>
            </w:tcMar>
            <w:vAlign w:val="center"/>
          </w:tcPr>
          <w:p w14:paraId="04819C90">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展示输出</w:t>
            </w:r>
          </w:p>
        </w:tc>
        <w:tc>
          <w:tcPr>
            <w:tcW w:w="1417" w:type="dxa"/>
            <w:shd w:val="clear" w:color="auto" w:fill="FFFFFF"/>
            <w:tcMar>
              <w:top w:w="90" w:type="dxa"/>
              <w:left w:w="135" w:type="dxa"/>
              <w:bottom w:w="90" w:type="dxa"/>
              <w:right w:w="135" w:type="dxa"/>
            </w:tcMar>
            <w:vAlign w:val="center"/>
          </w:tcPr>
          <w:p w14:paraId="139E7EB3">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WPS AI</w:t>
            </w:r>
          </w:p>
        </w:tc>
        <w:tc>
          <w:tcPr>
            <w:tcW w:w="2835" w:type="dxa"/>
            <w:shd w:val="clear" w:color="auto" w:fill="auto"/>
            <w:tcMar>
              <w:top w:w="90" w:type="dxa"/>
              <w:left w:w="135" w:type="dxa"/>
              <w:bottom w:w="90" w:type="dxa"/>
              <w:right w:w="135" w:type="dxa"/>
            </w:tcMar>
            <w:vAlign w:val="center"/>
          </w:tcPr>
          <w:p w14:paraId="7D85FD97">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多文档整合、一键生成PPT</w:t>
            </w:r>
          </w:p>
        </w:tc>
        <w:tc>
          <w:tcPr>
            <w:tcW w:w="2438" w:type="dxa"/>
            <w:tcBorders>
              <w:right w:val="nil"/>
            </w:tcBorders>
            <w:shd w:val="clear" w:color="auto" w:fill="auto"/>
            <w:tcMar>
              <w:top w:w="90" w:type="dxa"/>
              <w:left w:w="135" w:type="dxa"/>
              <w:bottom w:w="90" w:type="dxa"/>
              <w:right w:w="135" w:type="dxa"/>
            </w:tcMar>
            <w:vAlign w:val="center"/>
          </w:tcPr>
          <w:p w14:paraId="4617AD8B">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baseline"/>
              <w:rPr>
                <w:rFonts w:hint="eastAsia" w:ascii="宋体" w:hAnsi="宋体" w:eastAsia="宋体" w:cs="宋体"/>
                <w:sz w:val="18"/>
                <w:szCs w:val="18"/>
                <w:lang w:val="en-US" w:eastAsia="zh-CN" w:bidi="ar-SA"/>
              </w:rPr>
            </w:pPr>
            <w:r>
              <w:rPr>
                <w:rFonts w:hint="eastAsia" w:ascii="宋体" w:hAnsi="宋体" w:eastAsia="宋体" w:cs="宋体"/>
                <w:sz w:val="18"/>
                <w:szCs w:val="18"/>
                <w:lang w:val="en-US" w:eastAsia="zh-CN" w:bidi="ar-SA"/>
              </w:rPr>
              <w:t>“请生成研究报告摘要PPT，包含问题、图表与结论”</w:t>
            </w:r>
          </w:p>
        </w:tc>
      </w:tr>
    </w:tbl>
    <w:p w14:paraId="11457B09">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在AIGC应用于科研任务中，Prompt（提示词）的设计是影响生成结果质量的核心因素之一。正如1.4节所介绍的内容，科学合理的Prompt需同时满足“指令明确性、结构约束性与输出要求清晰化”三项基本原则。</w:t>
      </w:r>
    </w:p>
    <w:p w14:paraId="4B14724E">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i/>
          <w:iCs/>
          <w:kern w:val="2"/>
          <w:sz w:val="21"/>
          <w:szCs w:val="24"/>
          <w:lang w:val="en-US" w:eastAsia="zh-CN" w:bidi="ar-SA"/>
        </w:rPr>
        <w:t>所谓指令明确性</w:t>
      </w:r>
      <w:r>
        <w:rPr>
          <w:rFonts w:hint="eastAsia" w:ascii="Times New Roman" w:hAnsi="Times New Roman" w:eastAsia="宋体" w:cs="Times New Roman"/>
          <w:kern w:val="2"/>
          <w:sz w:val="21"/>
          <w:szCs w:val="24"/>
          <w:lang w:val="en-US" w:eastAsia="zh-CN" w:bidi="ar-SA"/>
        </w:rPr>
        <w:t>，是指提示语需清晰表达任务目标，避免出现如“写一篇综述”这类模糊表达，而应具体指出生成内容的主题、用途和风格要求。</w:t>
      </w:r>
    </w:p>
    <w:p w14:paraId="3C68822E">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i/>
          <w:iCs/>
          <w:kern w:val="2"/>
          <w:sz w:val="21"/>
          <w:szCs w:val="24"/>
          <w:lang w:val="en-US" w:eastAsia="zh-CN" w:bidi="ar-SA"/>
        </w:rPr>
        <w:t>结构约束性</w:t>
      </w:r>
      <w:r>
        <w:rPr>
          <w:rFonts w:hint="eastAsia" w:ascii="Times New Roman" w:hAnsi="Times New Roman" w:eastAsia="宋体" w:cs="Times New Roman"/>
          <w:kern w:val="2"/>
          <w:sz w:val="21"/>
          <w:szCs w:val="24"/>
          <w:lang w:val="en-US" w:eastAsia="zh-CN" w:bidi="ar-SA"/>
        </w:rPr>
        <w:t>，则要求在提示词中设定生成内容的逻辑结构或格式，例如明确段落数、是否包含引言与结论、是否采用“研究背景—主流观点—研究缺口”三段式等。</w:t>
      </w:r>
    </w:p>
    <w:p w14:paraId="2A365DEB">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i/>
          <w:iCs/>
          <w:kern w:val="2"/>
          <w:sz w:val="21"/>
          <w:szCs w:val="24"/>
          <w:lang w:val="en-US" w:eastAsia="zh-CN" w:bidi="ar-SA"/>
        </w:rPr>
        <w:t>输出要求清晰化</w:t>
      </w:r>
      <w:r>
        <w:rPr>
          <w:rFonts w:hint="eastAsia" w:ascii="Times New Roman" w:hAnsi="Times New Roman" w:eastAsia="宋体" w:cs="Times New Roman"/>
          <w:kern w:val="2"/>
          <w:sz w:val="21"/>
          <w:szCs w:val="24"/>
          <w:lang w:val="en-US" w:eastAsia="zh-CN" w:bidi="ar-SA"/>
        </w:rPr>
        <w:t>，意味着需对生成内容的具体形式做出规定，如要求字数范围（例如300字左右）、输出语言风格（如学术性、规范性）、是否标注参考文献、是否生成图表等。</w:t>
      </w:r>
    </w:p>
    <w:p w14:paraId="0F847B3C">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lang w:val="en-US" w:eastAsia="zh-CN"/>
        </w:rPr>
      </w:pPr>
      <w:r>
        <w:rPr>
          <w:rFonts w:hint="eastAsia" w:ascii="Times New Roman" w:hAnsi="Times New Roman" w:eastAsia="宋体" w:cs="Times New Roman"/>
          <w:kern w:val="2"/>
          <w:sz w:val="21"/>
          <w:szCs w:val="24"/>
          <w:lang w:val="en-US" w:eastAsia="zh-CN" w:bidi="ar-SA"/>
        </w:rPr>
        <w:t>以综述撰写为例，高质量的Prompt应明确指定综述主题、理论框架（如使用波特五力模型或事件研究法）、所需字数、是否含中文参考文献等；在数据分析类任务中，则应补充图表类型（折线图、柱状图、热力图等）、统计口径（如均值、标准差、对数收益率）、分析维度（如行业、时间段、事件前后对比）等附加信息。只有在Prompt中将任务意图细化为可执行指令，才能最大限度发挥AIGC在科研任务中的辅助价值，并减少生成内容的结构性缺陷与语义偏差。</w:t>
      </w:r>
    </w:p>
    <w:p w14:paraId="09B9A6B2">
      <w:pPr>
        <w:pStyle w:val="12"/>
        <w:keepNext w:val="0"/>
        <w:keepLines w:val="0"/>
        <w:widowControl/>
        <w:suppressLineNumbers w:val="0"/>
        <w:rPr>
          <w:rFonts w:hint="eastAsia" w:ascii="Arial" w:hAnsi="Arial" w:eastAsia="黑体" w:cs="Arial"/>
          <w:b w:val="0"/>
          <w:bCs/>
          <w:kern w:val="0"/>
          <w:sz w:val="28"/>
          <w:szCs w:val="27"/>
          <w:lang w:val="en-US" w:eastAsia="zh-CN" w:bidi="he-IL"/>
        </w:rPr>
      </w:pPr>
      <w:r>
        <w:rPr>
          <w:rFonts w:hint="eastAsia" w:ascii="Arial" w:hAnsi="Arial" w:eastAsia="黑体" w:cs="Arial"/>
          <w:b w:val="0"/>
          <w:bCs/>
          <w:kern w:val="0"/>
          <w:sz w:val="28"/>
          <w:szCs w:val="27"/>
          <w:lang w:val="en-US" w:eastAsia="zh-CN" w:bidi="he-IL"/>
        </w:rPr>
        <w:t>1.7.3 各环节输出内容示范</w:t>
      </w:r>
    </w:p>
    <w:p w14:paraId="283D9B55">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（一）研究设计（智谱清言）</w:t>
      </w:r>
    </w:p>
    <w:p w14:paraId="2281A6D0">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Prompt：请基于“美联储加息对A股市场波动”的主题生成研究背景、研究意义与研究假设，要求风格符合论文语言，结构完整。 </w:t>
      </w:r>
    </w:p>
    <w:p w14:paraId="25F38C7B">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生成示例：</w:t>
      </w:r>
    </w:p>
    <w:tbl>
      <w:tblPr>
        <w:tblStyle w:val="1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2FCD15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14:paraId="7CBEE989">
            <w:pPr>
              <w:rPr>
                <w:rFonts w:hint="eastAsia" w:ascii="黑体" w:hAnsi="黑体" w:eastAsia="黑体" w:cs="黑体"/>
                <w:i/>
                <w:iCs/>
                <w:lang w:val="en-US" w:eastAsia="zh-CN"/>
              </w:rPr>
            </w:pPr>
          </w:p>
          <w:p w14:paraId="7972839D">
            <w:pPr>
              <w:rPr>
                <w:rFonts w:hint="eastAsia" w:ascii="黑体" w:hAnsi="黑体" w:eastAsia="黑体" w:cs="黑体"/>
                <w:i/>
                <w:iCs/>
                <w:lang w:val="en-US" w:eastAsia="zh-CN"/>
              </w:rPr>
            </w:pPr>
            <w:r>
              <w:rPr>
                <w:rFonts w:hint="eastAsia" w:ascii="黑体" w:hAnsi="黑体" w:eastAsia="黑体" w:cs="黑体"/>
                <w:i/>
                <w:iCs/>
                <w:lang w:val="en-US" w:eastAsia="zh-CN"/>
              </w:rPr>
              <w:t>研究背景</w:t>
            </w:r>
          </w:p>
          <w:p w14:paraId="3A0C42B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 xml:space="preserve"> 近年来，全球面临显著的通货膨胀压力。为抑制物价快速上涨，美联储自2022年起实施了一系列加息操作。这些操作不仅影响了美国本土经济，更通过多种渠道传导至全球资本市场，引发动荡。在中国资本市场日益国际化、深度融入全球金融体系的背景下，美联储的货币政策调整，特别是加息行为，对中国A股市场的影响日益凸显。外部利率政策变化如何影响A股市场，其传导机制如何，已成为一个亟须深入研究的课题。</w:t>
            </w:r>
          </w:p>
          <w:p w14:paraId="03168B9A">
            <w:pPr>
              <w:rPr>
                <w:rFonts w:hint="eastAsia" w:ascii="黑体" w:hAnsi="黑体" w:eastAsia="黑体" w:cs="黑体"/>
                <w:i/>
                <w:iCs/>
                <w:lang w:val="en-US" w:eastAsia="zh-CN"/>
              </w:rPr>
            </w:pPr>
            <w:r>
              <w:rPr>
                <w:rFonts w:hint="eastAsia" w:ascii="黑体" w:hAnsi="黑体" w:eastAsia="黑体" w:cs="黑体"/>
                <w:i/>
                <w:iCs/>
                <w:lang w:val="en-US" w:eastAsia="zh-CN"/>
              </w:rPr>
              <w:t>研究意义</w:t>
            </w:r>
          </w:p>
          <w:p w14:paraId="71CA013B">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理论层面： 有助于丰富中国金融市场对外部冲击的适应性研究。当前，关于美联储货币政策通过何种具体路径、以何种强度影响A股市场波动的实证研究尚不充分。本研究将深入剖析加息冲击的传导机制，检验现有理论模型在中国特定市场环境下的适用性，为国际金融溢出效应理论和资产定价模型提供来自新兴市场的重要证据。</w:t>
            </w:r>
          </w:p>
          <w:p w14:paraId="0DF23DC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实践层面：对投资者： 理解加息冲击的效应有助于优化风险管理和投资决策。识别市场波动的来源和规律，可以帮助投资者规避风险，把握潜在机会；对监管者： 研究结果可为制定和调整相关政策提供理论依据。了解外部冲击的传导路径和影响程度，有助于监管部门设计更有效的宏观审慎政策、资本流动管理和市场稳定措施，提升中国金融体系的抗风险能力。</w:t>
            </w:r>
          </w:p>
          <w:p w14:paraId="1E9B3AA0">
            <w:pPr>
              <w:rPr>
                <w:rFonts w:hint="eastAsia" w:ascii="黑体" w:hAnsi="黑体" w:eastAsia="黑体" w:cs="黑体"/>
                <w:i/>
                <w:iCs/>
                <w:lang w:val="en-US" w:eastAsia="zh-CN"/>
              </w:rPr>
            </w:pPr>
            <w:r>
              <w:rPr>
                <w:rFonts w:hint="eastAsia" w:ascii="黑体" w:hAnsi="黑体" w:eastAsia="黑体" w:cs="黑体"/>
                <w:i/>
                <w:iCs/>
                <w:lang w:val="en-US" w:eastAsia="zh-CN"/>
              </w:rPr>
              <w:t>研究假设</w:t>
            </w:r>
          </w:p>
          <w:p w14:paraId="0516E16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基于上述背景和分析，本研究提出以下假设：</w:t>
            </w:r>
          </w:p>
          <w:p w14:paraId="4902C75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H1： 美联储加息前后，沪深300指数的日波动率将显著上升。预期加息事件本身会引发市场不确定性增加，导致投资者情绪波动，交易行为变化，从而提升市场整体波动性。</w:t>
            </w:r>
          </w:p>
          <w:p w14:paraId="2175077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H2： 汇率变动是美联储加息冲击传导至A股市场的主要渠道。预期加息将导致美元走强、人民币贬值，进而影响资本流动、企业盈利（特别是进出口企业）和市场预期，最终传导至股市波动。</w:t>
            </w:r>
          </w:p>
          <w:p w14:paraId="2FC38AA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H3： 相较于大盘股，中小市值股票的波动性对美联储加息的反应更为剧烈。预期中小市值股票通常估值更高、基本面相对脆弱、流动性较差，对流动性收紧和风险偏好下降更为敏感，因而波动反应更大。</w:t>
            </w:r>
          </w:p>
          <w:p w14:paraId="362EF78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黑体" w:hAnsi="黑体" w:eastAsia="黑体" w:cs="黑体"/>
                <w:i/>
                <w:iCs/>
                <w:color w:val="808080" w:themeColor="background1" w:themeShade="80"/>
                <w:lang w:val="en-US" w:eastAsia="zh-CN"/>
              </w:rPr>
            </w:pPr>
          </w:p>
        </w:tc>
      </w:tr>
    </w:tbl>
    <w:p w14:paraId="2106E822">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（二）文献综述（CNAI AI + 讯飞星火）</w:t>
      </w:r>
    </w:p>
    <w:p w14:paraId="47A30C55">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Prompt：（CNAI AI）我需要撰写关于“货币政策冲击对中国股票市场影响”的文献综述，请为我推荐近五年的3篇相关CSSCI期刊论文。</w:t>
      </w:r>
    </w:p>
    <w:p w14:paraId="362F8874">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jc w:val="lef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生成示例：</w:t>
      </w:r>
    </w:p>
    <w:p w14:paraId="47F82512">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jc w:val="center"/>
        <w:textAlignment w:val="auto"/>
      </w:pPr>
      <w:r>
        <w:rPr>
          <w:rFonts w:hint="eastAsia" w:ascii="Times New Roman" w:hAnsi="Times New Roman" w:eastAsia="宋体" w:cs="Times New Roman"/>
          <w:kern w:val="2"/>
          <w:sz w:val="21"/>
          <w:szCs w:val="24"/>
          <w:lang w:val="en-US" w:eastAsia="zh-CN" w:bidi="ar-SA"/>
        </w:rPr>
        <w:br w:type="textWrapping"/>
      </w:r>
      <w:r>
        <w:drawing>
          <wp:inline distT="0" distB="0" distL="114300" distR="114300">
            <wp:extent cx="4624705" cy="3763645"/>
            <wp:effectExtent l="0" t="0" r="23495"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624705" cy="3763645"/>
                    </a:xfrm>
                    <a:prstGeom prst="rect">
                      <a:avLst/>
                    </a:prstGeom>
                    <a:noFill/>
                    <a:ln>
                      <a:noFill/>
                    </a:ln>
                  </pic:spPr>
                </pic:pic>
              </a:graphicData>
            </a:graphic>
          </wp:inline>
        </w:drawing>
      </w:r>
    </w:p>
    <w:p w14:paraId="274D741E">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360" w:firstLineChars="20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15 知网检索与主题相关的参考文献——CNKI AI</w:t>
      </w:r>
    </w:p>
    <w:p w14:paraId="41B59F98">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Prompt：（讯飞星火）请根据提供的参考文献，撰写关于“货币政策冲击对中国股票市场影响”的中文文献综述。</w:t>
      </w:r>
    </w:p>
    <w:p w14:paraId="0677D77B">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生成示例：</w:t>
      </w:r>
    </w:p>
    <w:p w14:paraId="52D220C2">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80" w:firstLineChars="200"/>
        <w:jc w:val="center"/>
        <w:textAlignment w:val="auto"/>
      </w:pPr>
      <w:r>
        <w:drawing>
          <wp:inline distT="0" distB="0" distL="114300" distR="114300">
            <wp:extent cx="2438400" cy="3246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438400" cy="3246755"/>
                    </a:xfrm>
                    <a:prstGeom prst="rect">
                      <a:avLst/>
                    </a:prstGeom>
                    <a:noFill/>
                    <a:ln>
                      <a:noFill/>
                    </a:ln>
                  </pic:spPr>
                </pic:pic>
              </a:graphicData>
            </a:graphic>
          </wp:inline>
        </w:drawing>
      </w:r>
      <w:r>
        <w:drawing>
          <wp:inline distT="0" distB="0" distL="114300" distR="114300">
            <wp:extent cx="2035810" cy="3245485"/>
            <wp:effectExtent l="0" t="0" r="2159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035810" cy="3245485"/>
                    </a:xfrm>
                    <a:prstGeom prst="rect">
                      <a:avLst/>
                    </a:prstGeom>
                    <a:noFill/>
                    <a:ln>
                      <a:noFill/>
                    </a:ln>
                  </pic:spPr>
                </pic:pic>
              </a:graphicData>
            </a:graphic>
          </wp:inline>
        </w:drawing>
      </w:r>
    </w:p>
    <w:p w14:paraId="5EEC74A6">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360" w:firstLineChars="20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16 根据提供的参考文献生成文献综述——讯飞星火</w:t>
      </w:r>
    </w:p>
    <w:p w14:paraId="49D37C77">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（三）数据分析（百川助手）</w:t>
      </w:r>
    </w:p>
    <w:p w14:paraId="7C0174AB">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Prompt：请根据已上传的CSV文件，分析2022年美联储6轮加息事件前后5个交易日内，沪深300指数的变化情况。具体任务如下：1. 识别每次加息事件的日期（文件中已标注为“Event”列）；2. 以每个事件为中心，提取前后各5个交易日的数据；3. 对每个事件分别计算事件前后5日的平均收盘点位、标准差，并列出对比表格；4. 生成一张包含全部加息事件的折线图，横轴为日期，纵轴为CSI300指数，图中需用不同颜色或标记区分不同事件；5. 根据结果撰写一段200字左右的趋势分析，说明加息事件对沪深300指数的短期影响特征。请使用表格+图表+段落输出，语言风格要求学术规范。</w:t>
      </w:r>
    </w:p>
    <w:p w14:paraId="59BA8D50">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生成示例：</w:t>
      </w:r>
    </w:p>
    <w:tbl>
      <w:tblPr>
        <w:tblStyle w:val="1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5A44F9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Borders>
              <w:top w:val="single" w:color="000000" w:sz="4" w:space="0"/>
              <w:tl2br w:val="nil"/>
            </w:tcBorders>
            <w:shd w:val="clear" w:color="auto" w:fill="FFFFFF"/>
          </w:tcPr>
          <w:p w14:paraId="7E5169B2">
            <w:pPr>
              <w:rPr>
                <w:rFonts w:hint="eastAsia" w:ascii="黑体" w:hAnsi="黑体" w:eastAsia="黑体" w:cs="黑体"/>
                <w:b w:val="0"/>
                <w:i/>
                <w:iCs/>
                <w:color w:val="000000"/>
                <w:lang w:val="en-US" w:eastAsia="zh-CN"/>
              </w:rPr>
            </w:pPr>
          </w:p>
          <w:p w14:paraId="4CD042DE">
            <w:pPr>
              <w:ind w:left="0" w:leftChars="0" w:firstLine="0" w:firstLineChars="0"/>
              <w:jc w:val="center"/>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加息事件前后沪深300指数变化分析</w:t>
            </w:r>
          </w:p>
          <w:p w14:paraId="21B7949A">
            <w:pPr>
              <w:keepNext w:val="0"/>
              <w:keepLines w:val="0"/>
              <w:pageBreakBefore w:val="0"/>
              <w:widowControl w:val="0"/>
              <w:numPr>
                <w:ilvl w:val="0"/>
                <w:numId w:val="5"/>
              </w:numPr>
              <w:kinsoku/>
              <w:wordWrap/>
              <w:overflowPunct/>
              <w:topLinePunct w:val="0"/>
              <w:autoSpaceDE/>
              <w:autoSpaceDN/>
              <w:bidi w:val="0"/>
              <w:adjustRightInd w:val="0"/>
              <w:snapToGrid w:val="0"/>
              <w:ind w:firstLine="0" w:firstLineChars="0"/>
              <w:textAlignment w:val="auto"/>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 xml:space="preserve">加息事件日期识别 </w:t>
            </w:r>
          </w:p>
          <w:p w14:paraId="33598475">
            <w:pPr>
              <w:numPr>
                <w:ilvl w:val="0"/>
                <w:numId w:val="0"/>
              </w:numPr>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 xml:space="preserve">根据提供的CSV文件，我们可以识别出2022年美联储的六次加息事件日期分别为：2022-03-16, 2022-05-04, 2022-06-15, 2022-07-27, 2022-09-21, 2022-12-14。 </w:t>
            </w:r>
          </w:p>
          <w:p w14:paraId="3F3312AF">
            <w:pPr>
              <w:numPr>
                <w:ilvl w:val="0"/>
                <w:numId w:val="0"/>
              </w:numPr>
              <w:rPr>
                <w:rFonts w:hint="eastAsia" w:ascii="黑体" w:hAnsi="黑体" w:eastAsia="黑体" w:cs="黑体"/>
                <w:b w:val="0"/>
                <w:i/>
                <w:iCs/>
                <w:color w:val="000000"/>
                <w:lang w:val="en-US" w:eastAsia="zh-CN"/>
              </w:rPr>
            </w:pPr>
          </w:p>
          <w:p w14:paraId="493CB9C4">
            <w:pPr>
              <w:numPr>
                <w:ilvl w:val="0"/>
                <w:numId w:val="5"/>
              </w:numPr>
              <w:ind w:left="0" w:leftChars="0" w:firstLine="0" w:firstLineChars="0"/>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 xml:space="preserve">提取前后各5个交易日数据 </w:t>
            </w:r>
          </w:p>
          <w:p w14:paraId="0B56F12C">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 xml:space="preserve">我们以每个事件为中心，提取了前后各5个交易日的数据。 </w:t>
            </w:r>
          </w:p>
          <w:p w14:paraId="754F7A83">
            <w:pPr>
              <w:numPr>
                <w:ilvl w:val="0"/>
                <w:numId w:val="0"/>
              </w:numPr>
              <w:ind w:leftChars="0"/>
              <w:rPr>
                <w:rFonts w:hint="eastAsia" w:ascii="黑体" w:hAnsi="黑体" w:eastAsia="黑体" w:cs="黑体"/>
                <w:b w:val="0"/>
                <w:i/>
                <w:iCs/>
                <w:color w:val="000000"/>
                <w:lang w:val="en-US" w:eastAsia="zh-CN"/>
              </w:rPr>
            </w:pPr>
          </w:p>
          <w:p w14:paraId="375979AA">
            <w:pPr>
              <w:numPr>
                <w:ilvl w:val="0"/>
                <w:numId w:val="5"/>
              </w:numPr>
              <w:ind w:left="0" w:leftChars="0" w:firstLine="0" w:firstLineChars="0"/>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 xml:space="preserve">计算平均收盘点位和标准差 </w:t>
            </w:r>
          </w:p>
          <w:p w14:paraId="274178E5">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以下是每个事件前后5日的平均收盘点位和标准差的对比表格：</w:t>
            </w:r>
          </w:p>
          <w:p w14:paraId="0727E1F5">
            <w:pPr>
              <w:numPr>
                <w:ilvl w:val="0"/>
                <w:numId w:val="0"/>
              </w:numPr>
              <w:ind w:leftChars="0"/>
              <w:rPr>
                <w:rFonts w:hint="eastAsia" w:ascii="黑体" w:hAnsi="黑体" w:eastAsia="黑体" w:cs="黑体"/>
                <w:b w:val="0"/>
                <w:i/>
                <w:iCs/>
                <w:color w:val="000000"/>
                <w:lang w:val="en-US" w:eastAsia="zh-CN"/>
              </w:rPr>
            </w:pPr>
          </w:p>
          <w:p w14:paraId="5400E5C0">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2022年美联储加息事件前后沪深300指数平均收盘点位及标准差对比</w:t>
            </w:r>
          </w:p>
          <w:tbl>
            <w:tblPr>
              <w:tblStyle w:val="13"/>
              <w:tblW w:w="0" w:type="auto"/>
              <w:tblCellSpacing w:w="15" w:type="dxa"/>
              <w:tblInd w:w="-5" w:type="dxa"/>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65"/>
              <w:gridCol w:w="2076"/>
              <w:gridCol w:w="1387"/>
              <w:gridCol w:w="1971"/>
              <w:gridCol w:w="1402"/>
            </w:tblGrid>
            <w:tr w14:paraId="363C63D9">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420" w:type="dxa"/>
                  <w:tcBorders>
                    <w:top w:val="single" w:color="000000" w:sz="4" w:space="0"/>
                    <w:left w:val="nil"/>
                    <w:bottom w:val="nil"/>
                    <w:right w:val="nil"/>
                    <w:tl2br w:val="nil"/>
                  </w:tcBorders>
                  <w:shd w:val="clear" w:color="auto" w:fill="FFFFFF"/>
                  <w:tcMar>
                    <w:top w:w="105" w:type="dxa"/>
                    <w:left w:w="80" w:type="dxa"/>
                    <w:bottom w:w="105" w:type="dxa"/>
                    <w:right w:w="80" w:type="dxa"/>
                  </w:tcMar>
                  <w:vAlign w:val="center"/>
                </w:tcPr>
                <w:p w14:paraId="05549BEE">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加息事件日期</w:t>
                  </w:r>
                </w:p>
              </w:tc>
              <w:tc>
                <w:tcPr>
                  <w:tcW w:w="2046" w:type="dxa"/>
                  <w:tcBorders>
                    <w:top w:val="single" w:color="000000" w:sz="4" w:space="0"/>
                    <w:left w:val="nil"/>
                    <w:bottom w:val="nil"/>
                    <w:right w:val="nil"/>
                  </w:tcBorders>
                  <w:shd w:val="clear" w:color="auto" w:fill="FFFFFF"/>
                  <w:tcMar>
                    <w:top w:w="105" w:type="dxa"/>
                    <w:left w:w="80" w:type="dxa"/>
                    <w:bottom w:w="105" w:type="dxa"/>
                    <w:right w:w="80" w:type="dxa"/>
                  </w:tcMar>
                  <w:vAlign w:val="center"/>
                </w:tcPr>
                <w:p w14:paraId="319AB95A">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前5日平均收盘点位</w:t>
                  </w:r>
                </w:p>
              </w:tc>
              <w:tc>
                <w:tcPr>
                  <w:tcW w:w="0" w:type="auto"/>
                  <w:tcBorders>
                    <w:top w:val="single" w:color="000000" w:sz="4" w:space="0"/>
                    <w:left w:val="nil"/>
                    <w:bottom w:val="nil"/>
                    <w:right w:val="nil"/>
                  </w:tcBorders>
                  <w:shd w:val="clear" w:color="auto" w:fill="FFFFFF"/>
                  <w:tcMar>
                    <w:top w:w="105" w:type="dxa"/>
                    <w:left w:w="80" w:type="dxa"/>
                    <w:bottom w:w="105" w:type="dxa"/>
                    <w:right w:w="80" w:type="dxa"/>
                  </w:tcMar>
                  <w:vAlign w:val="center"/>
                </w:tcPr>
                <w:p w14:paraId="263F3BCD">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前5日标准差</w:t>
                  </w:r>
                </w:p>
              </w:tc>
              <w:tc>
                <w:tcPr>
                  <w:tcW w:w="0" w:type="auto"/>
                  <w:tcBorders>
                    <w:top w:val="single" w:color="000000" w:sz="4" w:space="0"/>
                    <w:left w:val="nil"/>
                    <w:bottom w:val="nil"/>
                    <w:right w:val="nil"/>
                  </w:tcBorders>
                  <w:shd w:val="clear" w:color="auto" w:fill="FFFFFF"/>
                  <w:tcMar>
                    <w:top w:w="105" w:type="dxa"/>
                    <w:left w:w="80" w:type="dxa"/>
                    <w:bottom w:w="105" w:type="dxa"/>
                    <w:right w:w="80" w:type="dxa"/>
                  </w:tcMar>
                  <w:vAlign w:val="center"/>
                </w:tcPr>
                <w:p w14:paraId="001F67C7">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后5日平均收盘点位</w:t>
                  </w:r>
                </w:p>
              </w:tc>
              <w:tc>
                <w:tcPr>
                  <w:tcW w:w="0" w:type="auto"/>
                  <w:tcBorders>
                    <w:top w:val="single" w:color="000000" w:sz="4" w:space="0"/>
                    <w:left w:val="nil"/>
                    <w:bottom w:val="nil"/>
                    <w:right w:val="nil"/>
                  </w:tcBorders>
                  <w:shd w:val="clear" w:color="auto" w:fill="FFFFFF"/>
                  <w:tcMar>
                    <w:top w:w="105" w:type="dxa"/>
                    <w:left w:w="80" w:type="dxa"/>
                    <w:bottom w:w="105" w:type="dxa"/>
                    <w:right w:w="80" w:type="dxa"/>
                  </w:tcMar>
                  <w:vAlign w:val="center"/>
                </w:tcPr>
                <w:p w14:paraId="1AFBBEAE">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后5日标准差</w:t>
                  </w:r>
                </w:p>
              </w:tc>
            </w:tr>
            <w:tr w14:paraId="60139F45">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20" w:type="dxa"/>
                  <w:tcBorders>
                    <w:top w:val="nil"/>
                    <w:left w:val="nil"/>
                    <w:bottom w:val="nil"/>
                    <w:right w:val="nil"/>
                  </w:tcBorders>
                  <w:shd w:val="clear" w:color="auto" w:fill="FFFFFF"/>
                  <w:tcMar>
                    <w:top w:w="110" w:type="dxa"/>
                    <w:left w:w="160" w:type="dxa"/>
                    <w:bottom w:w="110" w:type="dxa"/>
                    <w:right w:w="160" w:type="dxa"/>
                  </w:tcMar>
                  <w:vAlign w:val="center"/>
                </w:tcPr>
                <w:p w14:paraId="35E36657">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2022-03-16</w:t>
                  </w:r>
                </w:p>
              </w:tc>
              <w:tc>
                <w:tcPr>
                  <w:tcW w:w="2046" w:type="dxa"/>
                  <w:tcBorders>
                    <w:top w:val="nil"/>
                    <w:left w:val="nil"/>
                    <w:bottom w:val="nil"/>
                    <w:right w:val="nil"/>
                  </w:tcBorders>
                  <w:shd w:val="clear" w:color="auto" w:fill="FFFFFF"/>
                  <w:tcMar>
                    <w:top w:w="110" w:type="dxa"/>
                    <w:left w:w="160" w:type="dxa"/>
                    <w:bottom w:w="110" w:type="dxa"/>
                    <w:right w:w="160" w:type="dxa"/>
                  </w:tcMar>
                  <w:vAlign w:val="center"/>
                </w:tcPr>
                <w:p w14:paraId="1A409982">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4059.87</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08C5A748">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10.34</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15934536">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4028.20</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6562C6BC">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14.33</w:t>
                  </w:r>
                </w:p>
              </w:tc>
            </w:tr>
            <w:tr w14:paraId="33C9FACC">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20" w:type="dxa"/>
                  <w:tcBorders>
                    <w:top w:val="nil"/>
                    <w:left w:val="nil"/>
                    <w:bottom w:val="nil"/>
                    <w:right w:val="nil"/>
                  </w:tcBorders>
                  <w:shd w:val="clear" w:color="auto" w:fill="FFFFFF"/>
                  <w:tcMar>
                    <w:top w:w="110" w:type="dxa"/>
                    <w:left w:w="160" w:type="dxa"/>
                    <w:bottom w:w="110" w:type="dxa"/>
                    <w:right w:w="160" w:type="dxa"/>
                  </w:tcMar>
                  <w:vAlign w:val="center"/>
                </w:tcPr>
                <w:p w14:paraId="675BF97F">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2022-05-04</w:t>
                  </w:r>
                </w:p>
              </w:tc>
              <w:tc>
                <w:tcPr>
                  <w:tcW w:w="2046" w:type="dxa"/>
                  <w:tcBorders>
                    <w:top w:val="nil"/>
                    <w:left w:val="nil"/>
                    <w:bottom w:val="nil"/>
                    <w:right w:val="nil"/>
                  </w:tcBorders>
                  <w:shd w:val="clear" w:color="auto" w:fill="FFFFFF"/>
                  <w:tcMar>
                    <w:top w:w="110" w:type="dxa"/>
                    <w:left w:w="160" w:type="dxa"/>
                    <w:bottom w:w="110" w:type="dxa"/>
                    <w:right w:w="160" w:type="dxa"/>
                  </w:tcMar>
                  <w:vAlign w:val="center"/>
                </w:tcPr>
                <w:p w14:paraId="5531A3C6">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3859.78</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2209807C">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15.23</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5C9E9557">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3836.33</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4A077F05">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10.34</w:t>
                  </w:r>
                </w:p>
              </w:tc>
            </w:tr>
            <w:tr w14:paraId="3726DAFD">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20" w:type="dxa"/>
                  <w:tcBorders>
                    <w:top w:val="nil"/>
                    <w:left w:val="nil"/>
                    <w:bottom w:val="nil"/>
                    <w:right w:val="nil"/>
                  </w:tcBorders>
                  <w:shd w:val="clear" w:color="auto" w:fill="FFFFFF"/>
                  <w:tcMar>
                    <w:top w:w="110" w:type="dxa"/>
                    <w:left w:w="160" w:type="dxa"/>
                    <w:bottom w:w="110" w:type="dxa"/>
                    <w:right w:w="160" w:type="dxa"/>
                  </w:tcMar>
                  <w:vAlign w:val="center"/>
                </w:tcPr>
                <w:p w14:paraId="5391B7D9">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2022-06-15</w:t>
                  </w:r>
                </w:p>
              </w:tc>
              <w:tc>
                <w:tcPr>
                  <w:tcW w:w="2046" w:type="dxa"/>
                  <w:tcBorders>
                    <w:top w:val="nil"/>
                    <w:left w:val="nil"/>
                    <w:bottom w:val="nil"/>
                    <w:right w:val="nil"/>
                  </w:tcBorders>
                  <w:shd w:val="clear" w:color="auto" w:fill="FFFFFF"/>
                  <w:tcMar>
                    <w:top w:w="110" w:type="dxa"/>
                    <w:left w:w="160" w:type="dxa"/>
                    <w:bottom w:w="110" w:type="dxa"/>
                    <w:right w:w="160" w:type="dxa"/>
                  </w:tcMar>
                  <w:vAlign w:val="center"/>
                </w:tcPr>
                <w:p w14:paraId="07CEB8A5">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3884.04</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6C12C322">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14.33</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39C3F661">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3851.39</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358E84E0">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15.23</w:t>
                  </w:r>
                </w:p>
              </w:tc>
            </w:tr>
            <w:tr w14:paraId="03AC5E4F">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20" w:type="dxa"/>
                  <w:tcBorders>
                    <w:top w:val="nil"/>
                    <w:left w:val="nil"/>
                    <w:bottom w:val="nil"/>
                    <w:right w:val="nil"/>
                  </w:tcBorders>
                  <w:shd w:val="clear" w:color="auto" w:fill="FFFFFF"/>
                  <w:tcMar>
                    <w:top w:w="110" w:type="dxa"/>
                    <w:left w:w="160" w:type="dxa"/>
                    <w:bottom w:w="110" w:type="dxa"/>
                    <w:right w:w="160" w:type="dxa"/>
                  </w:tcMar>
                  <w:vAlign w:val="center"/>
                </w:tcPr>
                <w:p w14:paraId="267F9ECF">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2022-07-27</w:t>
                  </w:r>
                </w:p>
              </w:tc>
              <w:tc>
                <w:tcPr>
                  <w:tcW w:w="2046" w:type="dxa"/>
                  <w:tcBorders>
                    <w:top w:val="nil"/>
                    <w:left w:val="nil"/>
                    <w:bottom w:val="nil"/>
                    <w:right w:val="nil"/>
                  </w:tcBorders>
                  <w:shd w:val="clear" w:color="auto" w:fill="FFFFFF"/>
                  <w:tcMar>
                    <w:top w:w="110" w:type="dxa"/>
                    <w:left w:w="160" w:type="dxa"/>
                    <w:bottom w:w="110" w:type="dxa"/>
                    <w:right w:w="160" w:type="dxa"/>
                  </w:tcMar>
                  <w:vAlign w:val="center"/>
                </w:tcPr>
                <w:p w14:paraId="5B2F60F3">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3816.69</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7FB91021">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10.34</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6FF20235">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3837.93</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7853C6F3">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14.33</w:t>
                  </w:r>
                </w:p>
              </w:tc>
            </w:tr>
            <w:tr w14:paraId="63365956">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20" w:type="dxa"/>
                  <w:tcBorders>
                    <w:top w:val="nil"/>
                    <w:left w:val="nil"/>
                    <w:bottom w:val="nil"/>
                    <w:right w:val="nil"/>
                  </w:tcBorders>
                  <w:shd w:val="clear" w:color="auto" w:fill="FFFFFF"/>
                  <w:tcMar>
                    <w:top w:w="110" w:type="dxa"/>
                    <w:left w:w="160" w:type="dxa"/>
                    <w:bottom w:w="110" w:type="dxa"/>
                    <w:right w:w="160" w:type="dxa"/>
                  </w:tcMar>
                  <w:vAlign w:val="center"/>
                </w:tcPr>
                <w:p w14:paraId="08ECA6C2">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2022-09-21</w:t>
                  </w:r>
                </w:p>
              </w:tc>
              <w:tc>
                <w:tcPr>
                  <w:tcW w:w="2046" w:type="dxa"/>
                  <w:tcBorders>
                    <w:top w:val="nil"/>
                    <w:left w:val="nil"/>
                    <w:bottom w:val="nil"/>
                    <w:right w:val="nil"/>
                  </w:tcBorders>
                  <w:shd w:val="clear" w:color="auto" w:fill="FFFFFF"/>
                  <w:tcMar>
                    <w:top w:w="110" w:type="dxa"/>
                    <w:left w:w="160" w:type="dxa"/>
                    <w:bottom w:w="110" w:type="dxa"/>
                    <w:right w:w="160" w:type="dxa"/>
                  </w:tcMar>
                  <w:vAlign w:val="center"/>
                </w:tcPr>
                <w:p w14:paraId="4D9F1B6B">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3836.81</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4A944AF7">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15.23</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2FF89BAB">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3818.52</w:t>
                  </w:r>
                </w:p>
              </w:tc>
              <w:tc>
                <w:tcPr>
                  <w:tcW w:w="0" w:type="auto"/>
                  <w:tcBorders>
                    <w:top w:val="nil"/>
                    <w:left w:val="nil"/>
                    <w:bottom w:val="nil"/>
                    <w:right w:val="nil"/>
                  </w:tcBorders>
                  <w:shd w:val="clear" w:color="auto" w:fill="FFFFFF"/>
                  <w:tcMar>
                    <w:top w:w="110" w:type="dxa"/>
                    <w:left w:w="160" w:type="dxa"/>
                    <w:bottom w:w="110" w:type="dxa"/>
                    <w:right w:w="160" w:type="dxa"/>
                  </w:tcMar>
                  <w:vAlign w:val="center"/>
                </w:tcPr>
                <w:p w14:paraId="55ADEFA7">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10.34</w:t>
                  </w:r>
                </w:p>
              </w:tc>
            </w:tr>
            <w:tr w14:paraId="28128E86">
              <w:tblPrEx>
                <w:tblBorders>
                  <w:top w:val="single" w:color="D7D7D7" w:sz="8" w:space="0"/>
                  <w:left w:val="single" w:color="E5E7EB" w:sz="2" w:space="0"/>
                  <w:bottom w:val="single" w:color="E5E7EB" w:sz="2" w:space="0"/>
                  <w:right w:val="single" w:color="E5E7EB"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20" w:type="dxa"/>
                  <w:tcBorders>
                    <w:top w:val="nil"/>
                    <w:left w:val="nil"/>
                    <w:bottom w:val="single" w:color="000000" w:sz="4" w:space="0"/>
                    <w:right w:val="nil"/>
                  </w:tcBorders>
                  <w:shd w:val="clear" w:color="auto" w:fill="FFFFFF"/>
                  <w:tcMar>
                    <w:top w:w="110" w:type="dxa"/>
                    <w:left w:w="160" w:type="dxa"/>
                    <w:bottom w:w="110" w:type="dxa"/>
                    <w:right w:w="160" w:type="dxa"/>
                  </w:tcMar>
                  <w:vAlign w:val="center"/>
                </w:tcPr>
                <w:p w14:paraId="21178722">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2022-12-14</w:t>
                  </w:r>
                </w:p>
              </w:tc>
              <w:tc>
                <w:tcPr>
                  <w:tcW w:w="2046" w:type="dxa"/>
                  <w:tcBorders>
                    <w:top w:val="nil"/>
                    <w:left w:val="nil"/>
                    <w:bottom w:val="single" w:color="000000" w:sz="4" w:space="0"/>
                    <w:right w:val="nil"/>
                  </w:tcBorders>
                  <w:shd w:val="clear" w:color="auto" w:fill="FFFFFF"/>
                  <w:tcMar>
                    <w:top w:w="110" w:type="dxa"/>
                    <w:left w:w="160" w:type="dxa"/>
                    <w:bottom w:w="110" w:type="dxa"/>
                    <w:right w:w="160" w:type="dxa"/>
                  </w:tcMar>
                  <w:vAlign w:val="center"/>
                </w:tcPr>
                <w:p w14:paraId="15183446">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3904.22</w:t>
                  </w:r>
                </w:p>
              </w:tc>
              <w:tc>
                <w:tcPr>
                  <w:tcW w:w="0" w:type="auto"/>
                  <w:tcBorders>
                    <w:top w:val="nil"/>
                    <w:left w:val="nil"/>
                    <w:bottom w:val="single" w:color="000000" w:sz="4" w:space="0"/>
                    <w:right w:val="nil"/>
                  </w:tcBorders>
                  <w:shd w:val="clear" w:color="auto" w:fill="FFFFFF"/>
                  <w:tcMar>
                    <w:top w:w="110" w:type="dxa"/>
                    <w:left w:w="160" w:type="dxa"/>
                    <w:bottom w:w="110" w:type="dxa"/>
                    <w:right w:w="160" w:type="dxa"/>
                  </w:tcMar>
                  <w:vAlign w:val="center"/>
                </w:tcPr>
                <w:p w14:paraId="6B131CDE">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14.33</w:t>
                  </w:r>
                </w:p>
              </w:tc>
              <w:tc>
                <w:tcPr>
                  <w:tcW w:w="0" w:type="auto"/>
                  <w:tcBorders>
                    <w:top w:val="nil"/>
                    <w:left w:val="nil"/>
                    <w:bottom w:val="single" w:color="000000" w:sz="4" w:space="0"/>
                    <w:right w:val="nil"/>
                  </w:tcBorders>
                  <w:shd w:val="clear" w:color="auto" w:fill="FFFFFF"/>
                  <w:tcMar>
                    <w:top w:w="110" w:type="dxa"/>
                    <w:left w:w="160" w:type="dxa"/>
                    <w:bottom w:w="110" w:type="dxa"/>
                    <w:right w:w="160" w:type="dxa"/>
                  </w:tcMar>
                  <w:vAlign w:val="center"/>
                </w:tcPr>
                <w:p w14:paraId="0142CB84">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3978.30</w:t>
                  </w:r>
                </w:p>
              </w:tc>
              <w:tc>
                <w:tcPr>
                  <w:tcW w:w="0" w:type="auto"/>
                  <w:tcBorders>
                    <w:top w:val="nil"/>
                    <w:left w:val="nil"/>
                    <w:bottom w:val="single" w:color="000000" w:sz="4" w:space="0"/>
                    <w:right w:val="nil"/>
                  </w:tcBorders>
                  <w:shd w:val="clear" w:color="auto" w:fill="FFFFFF"/>
                  <w:tcMar>
                    <w:top w:w="110" w:type="dxa"/>
                    <w:left w:w="160" w:type="dxa"/>
                    <w:bottom w:w="110" w:type="dxa"/>
                    <w:right w:w="160" w:type="dxa"/>
                  </w:tcMar>
                  <w:vAlign w:val="center"/>
                </w:tcPr>
                <w:p w14:paraId="4FC947AC">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15.23</w:t>
                  </w:r>
                </w:p>
              </w:tc>
            </w:tr>
          </w:tbl>
          <w:p w14:paraId="3CE4B8FD">
            <w:pPr>
              <w:numPr>
                <w:ilvl w:val="0"/>
                <w:numId w:val="0"/>
              </w:numPr>
              <w:ind w:leftChars="0"/>
              <w:rPr>
                <w:rFonts w:hint="eastAsia" w:ascii="黑体" w:hAnsi="黑体" w:eastAsia="黑体" w:cs="黑体"/>
                <w:b w:val="0"/>
                <w:i/>
                <w:iCs/>
                <w:color w:val="000000"/>
                <w:lang w:val="en-US" w:eastAsia="zh-CN"/>
              </w:rPr>
            </w:pPr>
          </w:p>
          <w:p w14:paraId="494B036A">
            <w:pPr>
              <w:numPr>
                <w:ilvl w:val="0"/>
                <w:numId w:val="5"/>
              </w:numPr>
              <w:ind w:left="0" w:leftChars="0" w:firstLine="0" w:firstLineChars="0"/>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生成折线图 （Python源代码）</w:t>
            </w:r>
          </w:p>
          <w:p w14:paraId="5CB6403A">
            <w:pPr>
              <w:numPr>
                <w:ilvl w:val="0"/>
                <w:numId w:val="0"/>
              </w:numPr>
              <w:ind w:leftChars="0"/>
              <w:rPr>
                <w:rFonts w:hint="eastAsia" w:ascii="黑体" w:hAnsi="黑体" w:eastAsia="黑体" w:cs="黑体"/>
                <w:b w:val="0"/>
                <w:i/>
                <w:iCs/>
                <w:color w:val="000000"/>
                <w:lang w:val="en-US" w:eastAsia="zh-CN"/>
              </w:rPr>
            </w:pPr>
            <w:r>
              <w:rPr>
                <w:b w:val="0"/>
                <w:color w:val="000000"/>
              </w:rPr>
              <w:drawing>
                <wp:inline distT="0" distB="0" distL="114300" distR="114300">
                  <wp:extent cx="4216400" cy="4870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216400" cy="4870450"/>
                          </a:xfrm>
                          <a:prstGeom prst="rect">
                            <a:avLst/>
                          </a:prstGeom>
                          <a:noFill/>
                          <a:ln>
                            <a:noFill/>
                          </a:ln>
                        </pic:spPr>
                      </pic:pic>
                    </a:graphicData>
                  </a:graphic>
                </wp:inline>
              </w:drawing>
            </w:r>
          </w:p>
          <w:p w14:paraId="673DDEC5">
            <w:pPr>
              <w:numPr>
                <w:ilvl w:val="0"/>
                <w:numId w:val="0"/>
              </w:numPr>
              <w:ind w:leftChars="0"/>
              <w:rPr>
                <w:rFonts w:hint="eastAsia" w:ascii="黑体" w:hAnsi="黑体" w:eastAsia="黑体" w:cs="黑体"/>
                <w:b w:val="0"/>
                <w:i/>
                <w:iCs/>
                <w:color w:val="000000"/>
                <w:lang w:val="en-US" w:eastAsia="zh-CN"/>
              </w:rPr>
            </w:pPr>
          </w:p>
          <w:p w14:paraId="6848A5F5">
            <w:pPr>
              <w:numPr>
                <w:ilvl w:val="0"/>
                <w:numId w:val="0"/>
              </w:numPr>
              <w:rPr>
                <w:rFonts w:hint="eastAsia" w:ascii="黑体" w:hAnsi="黑体" w:eastAsia="黑体" w:cs="黑体"/>
                <w:b w:val="0"/>
                <w:i/>
                <w:iCs/>
                <w:color w:val="000000"/>
                <w:lang w:val="en-US" w:eastAsia="zh-CN"/>
              </w:rPr>
            </w:pPr>
            <w:r>
              <w:rPr>
                <w:rFonts w:hint="eastAsia" w:ascii="黑体" w:hAnsi="黑体" w:eastAsia="黑体" w:cs="黑体"/>
                <w:b w:val="0"/>
                <w:i/>
                <w:iCs/>
                <w:color w:val="000000"/>
                <w:lang w:val="en-US" w:eastAsia="zh-CN"/>
              </w:rPr>
              <w:t xml:space="preserve">5. 趋势分析 </w:t>
            </w:r>
          </w:p>
          <w:p w14:paraId="1CF53504">
            <w:pPr>
              <w:numPr>
                <w:ilvl w:val="0"/>
                <w:numId w:val="0"/>
              </w:numPr>
              <w:ind w:leftChars="0"/>
              <w:rPr>
                <w:rFonts w:hint="eastAsia" w:ascii="黑体" w:hAnsi="黑体" w:eastAsia="黑体" w:cs="黑体"/>
                <w:b w:val="0"/>
                <w:i/>
                <w:iCs/>
                <w:color w:val="808080" w:themeColor="background1" w:themeShade="80"/>
                <w:lang w:val="en-US" w:eastAsia="zh-CN"/>
              </w:rPr>
            </w:pPr>
            <w:r>
              <w:rPr>
                <w:rFonts w:hint="eastAsia" w:ascii="黑体" w:hAnsi="黑体" w:eastAsia="黑体" w:cs="黑体"/>
                <w:b w:val="0"/>
                <w:i/>
                <w:iCs/>
                <w:color w:val="808080" w:themeColor="background1" w:themeShade="80"/>
                <w:lang w:val="en-US" w:eastAsia="zh-CN"/>
              </w:rPr>
              <w:t>通过分析2022年美联储六次加息事件前后沪深300指数的变化，我们可以观察到在加息事件发生后，指数普遍呈现下跌趋势。例如，在2022年3月16日的加息事件后，指数从4059.87点下降至4028.20点，显示出市场对加息的负面反应。然而，在2022年12月14日的最后一次加息事件后，指数反而有所上升，这可能反映了市场对加息预期的逐渐消化和适应。总体而言，加息事件短期内对沪深300指数产生了负面影响，但市场反应随时间而变化。</w:t>
            </w:r>
          </w:p>
          <w:p w14:paraId="7317E6A0">
            <w:pPr>
              <w:numPr>
                <w:ilvl w:val="0"/>
                <w:numId w:val="0"/>
              </w:numPr>
              <w:rPr>
                <w:rFonts w:hint="eastAsia" w:ascii="Times New Roman" w:hAnsi="Times New Roman" w:eastAsia="宋体" w:cs="Times New Roman"/>
                <w:b w:val="0"/>
                <w:color w:val="000000"/>
                <w:kern w:val="2"/>
                <w:sz w:val="21"/>
                <w:szCs w:val="24"/>
                <w:vertAlign w:val="baseline"/>
                <w:lang w:val="en-US" w:eastAsia="zh-CN" w:bidi="ar-SA"/>
              </w:rPr>
            </w:pPr>
          </w:p>
        </w:tc>
      </w:tr>
    </w:tbl>
    <w:p w14:paraId="1ACB7551">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（四）润色降重（秘塔AI）</w:t>
      </w:r>
    </w:p>
    <w:p w14:paraId="58D1DB4A">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Prompt：整合段落初稿（字数约1600字），提示AI降低重复率至15%以内，并提升逻辑严密性。</w:t>
      </w:r>
    </w:p>
    <w:p w14:paraId="5A9BE5CF">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生成示例：</w:t>
      </w:r>
    </w:p>
    <w:p w14:paraId="6101BCBA">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drawing>
          <wp:inline distT="0" distB="0" distL="114300" distR="114300">
            <wp:extent cx="5272405" cy="3930650"/>
            <wp:effectExtent l="0" t="0" r="1079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2405" cy="3930650"/>
                    </a:xfrm>
                    <a:prstGeom prst="rect">
                      <a:avLst/>
                    </a:prstGeom>
                    <a:noFill/>
                    <a:ln>
                      <a:noFill/>
                    </a:ln>
                  </pic:spPr>
                </pic:pic>
              </a:graphicData>
            </a:graphic>
          </wp:inline>
        </w:drawing>
      </w:r>
    </w:p>
    <w:p w14:paraId="0BE7A9C9">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360" w:firstLineChars="200"/>
        <w:jc w:val="center"/>
        <w:textAlignment w:val="auto"/>
        <w:rPr>
          <w:rFonts w:hint="eastAsia" w:ascii="Times New Roman" w:hAnsi="Times New Roman" w:eastAsia="宋体" w:cs="Times New Roman"/>
          <w:kern w:val="2"/>
          <w:sz w:val="21"/>
          <w:szCs w:val="24"/>
          <w:lang w:val="en-US" w:eastAsia="zh-CN" w:bidi="ar-SA"/>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16 根据讯飞星火生成的文献综述进行降AI及重复率——秘塔AI</w:t>
      </w:r>
    </w:p>
    <w:p w14:paraId="17E8556D">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（五）展示输出（WPS AI）</w:t>
      </w:r>
    </w:p>
    <w:p w14:paraId="7A8538DC">
      <w:pPr>
        <w:pStyle w:val="12"/>
        <w:keepNext w:val="0"/>
        <w:keepLines w:val="0"/>
        <w:pageBreakBefore w:val="0"/>
        <w:widowControl/>
        <w:suppressLineNumbers w:val="0"/>
        <w:kinsoku/>
        <w:wordWrap/>
        <w:overflowPunct/>
        <w:topLinePunct w:val="0"/>
        <w:autoSpaceDE/>
        <w:autoSpaceDN/>
        <w:bidi w:val="0"/>
        <w:adjustRightInd/>
        <w:snapToGrid/>
        <w:spacing w:line="332" w:lineRule="atLeas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在完成选题构思、文献综述、数据分析与成果润色等环节后，同学们通常需要将核心内容以可视化形式呈现，以便于课堂展示、学术交流或项目申报。该环节不仅服务于课堂汇报、学术会议展示，也有助于促进研究成果的传播与反馈。为提升效率与表达质量，研究者可借助AIGC平台（WPS AI、秘塔写作猫、豆包办公、iSlide AI）实现内容的结构化整理与一键式演示文稿生成。</w:t>
      </w:r>
    </w:p>
    <w:p w14:paraId="220A5000">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当前主流AIGC办公工具已具备较强的内容整合与文稿生成能力，支持用户基于已有文本与图表素材，快速生成包含封面、目录、图表页、段落摘要、结论建议等结构化内容的PPT演示文档、摘要PDF、Markdown草稿等。与传统手动排版相比，AIGC工具在版式一致性、语言规范性、结构逻辑性等方面表现出显著优势。常用平台包括：</w:t>
      </w:r>
    </w:p>
    <w:p w14:paraId="179CC77B">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WPS AI：适合快速生成科技类PPT与摘要文档，支持中文语境下的结构优化；</w:t>
      </w:r>
    </w:p>
    <w:p w14:paraId="2B07F70C">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秘塔AI写作：支持从长文稿中提取核心要素，并一键转化为演示格式；</w:t>
      </w:r>
    </w:p>
    <w:p w14:paraId="7354054C">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豆包办公助手：集成PDF摘要、Markdown输出等功能，适合科研写作协作场景；</w:t>
      </w:r>
    </w:p>
    <w:p w14:paraId="50CD03A3">
      <w:pPr>
        <w:pStyle w:val="12"/>
        <w:keepNext w:val="0"/>
        <w:keepLines w:val="0"/>
        <w:pageBreakBefore w:val="0"/>
        <w:widowControl/>
        <w:numPr>
          <w:ilvl w:val="0"/>
          <w:numId w:val="4"/>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iSlide AI插件：可在PowerPoint环境中直接生成内容逻辑结构与图表配比。</w:t>
      </w:r>
    </w:p>
    <w:p w14:paraId="4B29FE37">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在本案例中，研究者已完成了研究问题设定、文献综述生成、加息数据分析与结论撰写。接下来可按如下步骤使用AI平台完成展示材料的自动化生成：</w:t>
      </w:r>
    </w:p>
    <w:p w14:paraId="489037DB">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1、整理素材：</w:t>
      </w:r>
      <w:r>
        <w:rPr>
          <w:rFonts w:hint="eastAsia" w:ascii="Times New Roman" w:hAnsi="Times New Roman" w:eastAsia="宋体" w:cs="Times New Roman"/>
          <w:kern w:val="2"/>
          <w:sz w:val="21"/>
          <w:szCs w:val="24"/>
          <w:lang w:val="en-US" w:eastAsia="zh-CN" w:bidi="ar-SA"/>
        </w:rPr>
        <w:t>将前几节生成的文本材料按照模块整理，包括：</w:t>
      </w:r>
    </w:p>
    <w:p w14:paraId="126C0A6B">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研究问题与假设；</w:t>
      </w:r>
    </w:p>
    <w:p w14:paraId="5FCB096F">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核心文献综述段落；</w:t>
      </w:r>
    </w:p>
    <w:p w14:paraId="7C70CAA6">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数据分析图表（如沪深300折线图与波动率表格）；</w:t>
      </w:r>
    </w:p>
    <w:p w14:paraId="590481FD">
      <w:pPr>
        <w:pStyle w:val="12"/>
        <w:keepNext w:val="0"/>
        <w:keepLines w:val="0"/>
        <w:pageBreakBefore w:val="0"/>
        <w:widowControl/>
        <w:numPr>
          <w:ilvl w:val="0"/>
          <w:numId w:val="6"/>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结论摘要与政策建议。</w:t>
      </w:r>
    </w:p>
    <w:p w14:paraId="40FEF781">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2、选择输出结构：</w:t>
      </w:r>
      <w:r>
        <w:rPr>
          <w:rFonts w:hint="eastAsia" w:ascii="Times New Roman" w:hAnsi="Times New Roman" w:eastAsia="宋体" w:cs="Times New Roman"/>
          <w:kern w:val="2"/>
          <w:sz w:val="21"/>
          <w:szCs w:val="24"/>
          <w:lang w:val="en-US" w:eastAsia="zh-CN" w:bidi="ar-SA"/>
        </w:rPr>
        <w:t>使用AI平台预设的演示文稿模板，推荐结构如下：</w:t>
      </w:r>
    </w:p>
    <w:p w14:paraId="03E3ABB4">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第1页：封面页（研究标题、作者、单位、时间）；</w:t>
      </w:r>
    </w:p>
    <w:p w14:paraId="7B2D1719">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第2页：研究问题与背景陈述；</w:t>
      </w:r>
    </w:p>
    <w:p w14:paraId="18D5C367">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第3页：文献综述重点内容；</w:t>
      </w:r>
    </w:p>
    <w:p w14:paraId="4D616A0C">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第4页：数据分析图表展示与结果简述；</w:t>
      </w:r>
    </w:p>
    <w:p w14:paraId="2CF859AC">
      <w:pPr>
        <w:pStyle w:val="12"/>
        <w:keepNext w:val="0"/>
        <w:keepLines w:val="0"/>
        <w:pageBreakBefore w:val="0"/>
        <w:widowControl/>
        <w:numPr>
          <w:ilvl w:val="0"/>
          <w:numId w:val="7"/>
        </w:numPr>
        <w:suppressLineNumbers w:val="0"/>
        <w:kinsoku/>
        <w:wordWrap/>
        <w:overflowPunct/>
        <w:topLinePunct w:val="0"/>
        <w:autoSpaceDE/>
        <w:autoSpaceDN/>
        <w:bidi w:val="0"/>
        <w:adjustRightInd/>
        <w:snapToGrid/>
        <w:spacing w:line="332" w:lineRule="atLeas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第5页：研究结论与建议。</w:t>
      </w:r>
    </w:p>
    <w:p w14:paraId="76194EE8">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3、输入内容与样式设定：</w:t>
      </w:r>
      <w:r>
        <w:rPr>
          <w:rFonts w:hint="eastAsia" w:ascii="Times New Roman" w:hAnsi="Times New Roman" w:eastAsia="宋体" w:cs="Times New Roman"/>
          <w:kern w:val="2"/>
          <w:sz w:val="21"/>
          <w:szCs w:val="24"/>
          <w:lang w:val="en-US" w:eastAsia="zh-CN" w:bidi="ar-SA"/>
        </w:rPr>
        <w:t>将上述模块粘贴至AI平台提供的文本框中，或上传整理后的Word文档与图像文件。可选择学术风、商务风、可视化风等模板样式，并设置输出格式（PPT/PDF/Markdown）。</w:t>
      </w:r>
    </w:p>
    <w:p w14:paraId="2FF9718D">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4、生成与导出：</w:t>
      </w:r>
      <w:r>
        <w:rPr>
          <w:rFonts w:hint="eastAsia" w:ascii="Times New Roman" w:hAnsi="Times New Roman" w:eastAsia="宋体" w:cs="Times New Roman"/>
          <w:kern w:val="2"/>
          <w:sz w:val="21"/>
          <w:szCs w:val="24"/>
          <w:lang w:val="en-US" w:eastAsia="zh-CN" w:bidi="ar-SA"/>
        </w:rPr>
        <w:t>点击“一键生成”，数秒后即可得到结构化演示材料。内容可进一步导出为 .pptx、pdf、md 等格式，适配教学展示、线上发布或团队协同需求。</w:t>
      </w:r>
    </w:p>
    <w:p w14:paraId="7935FB9C">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为确保AIGC平台准确识别内容结构并高效生成输出材料，建议使用结构化Prompt进行引导。例如：</w:t>
      </w:r>
    </w:p>
    <w:p w14:paraId="06D4B55E">
      <w:pPr>
        <w:pStyle w:val="12"/>
        <w:keepNext w:val="0"/>
        <w:keepLines w:val="0"/>
        <w:pageBreakBefore w:val="0"/>
        <w:widowControl/>
        <w:numPr>
          <w:ilvl w:val="0"/>
          <w:numId w:val="8"/>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生成PPT演示文稿：</w:t>
      </w:r>
      <w:r>
        <w:rPr>
          <w:rFonts w:hint="eastAsia" w:ascii="Times New Roman" w:hAnsi="Times New Roman" w:eastAsia="宋体" w:cs="Times New Roman"/>
          <w:kern w:val="2"/>
          <w:sz w:val="21"/>
          <w:szCs w:val="24"/>
          <w:lang w:val="en-US" w:eastAsia="zh-CN" w:bidi="ar-SA"/>
        </w:rPr>
        <w:t>（WPS AI）“请根据以下内容生成5页演示PPT，结构依次为：封面、研究问题、文献综述、数据分析图表、研究结论与建议。请使用学术风模板，控制每页文字在100字以内，并插入图表到第4页。”</w:t>
      </w:r>
    </w:p>
    <w:p w14:paraId="6552F5FA">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Chars="200" w:right="0" w:rightChars="0"/>
        <w:jc w:val="center"/>
        <w:textAlignment w:val="auto"/>
      </w:pPr>
      <w:r>
        <w:drawing>
          <wp:inline distT="0" distB="0" distL="114300" distR="114300">
            <wp:extent cx="3619500" cy="1334770"/>
            <wp:effectExtent l="0" t="0" r="1270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3619500" cy="1334770"/>
                    </a:xfrm>
                    <a:prstGeom prst="rect">
                      <a:avLst/>
                    </a:prstGeom>
                    <a:noFill/>
                    <a:ln>
                      <a:noFill/>
                    </a:ln>
                  </pic:spPr>
                </pic:pic>
              </a:graphicData>
            </a:graphic>
          </wp:inline>
        </w:drawing>
      </w:r>
      <w:r>
        <w:drawing>
          <wp:inline distT="0" distB="0" distL="114300" distR="114300">
            <wp:extent cx="3617595" cy="3391535"/>
            <wp:effectExtent l="0" t="0" r="1460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617595" cy="3391535"/>
                    </a:xfrm>
                    <a:prstGeom prst="rect">
                      <a:avLst/>
                    </a:prstGeom>
                    <a:noFill/>
                    <a:ln>
                      <a:noFill/>
                    </a:ln>
                  </pic:spPr>
                </pic:pic>
              </a:graphicData>
            </a:graphic>
          </wp:inline>
        </w:drawing>
      </w:r>
    </w:p>
    <w:p w14:paraId="729FC3AF">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360" w:firstLineChars="200"/>
        <w:jc w:val="center"/>
        <w:textAlignment w:val="auto"/>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16 根据前文整理的素材整理并生成PPT大纲——WPS AI</w:t>
      </w:r>
    </w:p>
    <w:p w14:paraId="14B495C2">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32" w:lineRule="atLeast"/>
        <w:ind w:right="0" w:rightChars="0"/>
        <w:jc w:val="center"/>
        <w:textAlignment w:val="auto"/>
      </w:pPr>
      <w:r>
        <w:drawing>
          <wp:inline distT="0" distB="0" distL="114300" distR="114300">
            <wp:extent cx="5270500" cy="2951480"/>
            <wp:effectExtent l="0" t="0" r="12700" b="203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2951480"/>
                    </a:xfrm>
                    <a:prstGeom prst="rect">
                      <a:avLst/>
                    </a:prstGeom>
                    <a:noFill/>
                    <a:ln>
                      <a:noFill/>
                    </a:ln>
                  </pic:spPr>
                </pic:pic>
              </a:graphicData>
            </a:graphic>
          </wp:inline>
        </w:drawing>
      </w:r>
    </w:p>
    <w:p w14:paraId="0FEFD41F">
      <w:pPr>
        <w:pStyle w:val="12"/>
        <w:keepNext w:val="0"/>
        <w:keepLines w:val="0"/>
        <w:pageBreakBefore w:val="0"/>
        <w:widowControl/>
        <w:suppressLineNumbers w:val="0"/>
        <w:kinsoku/>
        <w:wordWrap/>
        <w:overflowPunct/>
        <w:topLinePunct w:val="0"/>
        <w:autoSpaceDE/>
        <w:autoSpaceDN/>
        <w:bidi w:val="0"/>
        <w:adjustRightInd/>
        <w:snapToGrid/>
        <w:spacing w:line="332" w:lineRule="atLeast"/>
        <w:ind w:firstLine="360" w:firstLineChars="200"/>
        <w:jc w:val="center"/>
        <w:textAlignment w:val="auto"/>
        <w:rPr>
          <w:rFonts w:hint="eastAsia"/>
          <w:lang w:val="en-US" w:eastAsia="zh-CN"/>
        </w:rPr>
      </w:pPr>
      <w:r>
        <w:rPr>
          <w:rFonts w:hint="eastAsia" w:ascii="宋体" w:hAnsi="宋体" w:eastAsia="宋体" w:cs="宋体"/>
          <w:sz w:val="18"/>
          <w:szCs w:val="18"/>
        </w:rPr>
        <w:t xml:space="preserve">图 </w:t>
      </w:r>
      <w:r>
        <w:rPr>
          <w:rFonts w:hint="eastAsia" w:ascii="宋体" w:hAnsi="宋体" w:eastAsia="宋体" w:cs="宋体"/>
          <w:sz w:val="18"/>
          <w:szCs w:val="18"/>
          <w:lang w:val="en-US" w:eastAsia="zh-CN"/>
        </w:rPr>
        <w:t>1</w:t>
      </w:r>
      <w:r>
        <w:rPr>
          <w:rFonts w:hint="eastAsia" w:ascii="宋体" w:hAnsi="宋体" w:eastAsia="宋体" w:cs="宋体"/>
          <w:sz w:val="18"/>
          <w:szCs w:val="18"/>
          <w:lang w:eastAsia="zh-CN"/>
        </w:rPr>
        <w:t>-</w:t>
      </w:r>
      <w:r>
        <w:rPr>
          <w:rFonts w:hint="eastAsia" w:ascii="宋体" w:hAnsi="宋体" w:eastAsia="宋体" w:cs="宋体"/>
          <w:sz w:val="18"/>
          <w:szCs w:val="18"/>
          <w:lang w:val="en-US" w:eastAsia="zh-CN"/>
        </w:rPr>
        <w:t>17 选择PPT模板——WPS AI</w:t>
      </w:r>
    </w:p>
    <w:p w14:paraId="5089EC41">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2、生成摘要PDF：</w:t>
      </w:r>
      <w:r>
        <w:rPr>
          <w:rFonts w:hint="eastAsia" w:ascii="Times New Roman" w:hAnsi="Times New Roman" w:eastAsia="宋体" w:cs="Times New Roman"/>
          <w:kern w:val="2"/>
          <w:sz w:val="21"/>
          <w:szCs w:val="24"/>
          <w:lang w:val="en-US" w:eastAsia="zh-CN" w:bidi="ar-SA"/>
        </w:rPr>
        <w:t>“请根据以下研究报告内容，生成一页摘要PDF。包括：研究标题（加粗居中）、正文摘要（控制在300字以内）、插入一张指数变动趋势图、列出3条结论建议、在页脚标注作者与日期。”</w:t>
      </w:r>
    </w:p>
    <w:p w14:paraId="7BF0D4E7">
      <w:pPr>
        <w:pStyle w:val="12"/>
        <w:keepNext w:val="0"/>
        <w:keepLines w:val="0"/>
        <w:pageBreakBefore w:val="0"/>
        <w:widowControl/>
        <w:numPr>
          <w:ilvl w:val="0"/>
          <w:numId w:val="0"/>
        </w:numPr>
        <w:suppressLineNumbers w:val="0"/>
        <w:kinsoku/>
        <w:wordWrap/>
        <w:overflowPunct/>
        <w:topLinePunct w:val="0"/>
        <w:autoSpaceDE/>
        <w:autoSpaceDN/>
        <w:bidi w:val="0"/>
        <w:adjustRightInd/>
        <w:snapToGrid/>
        <w:spacing w:line="332" w:lineRule="atLeast"/>
        <w:ind w:left="420" w:leftChars="0" w:right="0" w:rightChars="0"/>
        <w:textAlignment w:val="auto"/>
        <w:rPr>
          <w:rFonts w:hint="eastAsia" w:ascii="Times New Roman" w:hAnsi="Times New Roman" w:eastAsia="宋体" w:cs="Times New Roman"/>
          <w:kern w:val="2"/>
          <w:sz w:val="21"/>
          <w:szCs w:val="24"/>
          <w:lang w:val="en-US" w:eastAsia="zh-CN" w:bidi="ar-SA"/>
        </w:rPr>
      </w:pPr>
      <w:r>
        <w:rPr>
          <w:rFonts w:hint="eastAsia" w:ascii="黑体" w:hAnsi="黑体" w:eastAsia="黑体" w:cs="黑体"/>
          <w:kern w:val="2"/>
          <w:sz w:val="21"/>
          <w:szCs w:val="24"/>
          <w:lang w:val="en-US" w:eastAsia="zh-CN" w:bidi="ar-SA"/>
        </w:rPr>
        <w:t>3、生成Markdown草稿：</w:t>
      </w:r>
      <w:r>
        <w:rPr>
          <w:rFonts w:hint="eastAsia" w:ascii="Times New Roman" w:hAnsi="Times New Roman" w:eastAsia="宋体" w:cs="Times New Roman"/>
          <w:kern w:val="2"/>
          <w:sz w:val="21"/>
          <w:szCs w:val="24"/>
          <w:lang w:val="en-US" w:eastAsia="zh-CN" w:bidi="ar-SA"/>
        </w:rPr>
        <w:t>“请将以下内容转化为结构清晰的Markdown文档，段落标题包括：研究背景、文献综述、数据分析、研究结论、参考文献。请使用二级标题（##）标记，并保留图表说明位置。”</w:t>
      </w:r>
    </w:p>
    <w:p w14:paraId="0818DAD5">
      <w:pPr>
        <w:pStyle w:val="12"/>
        <w:keepNext w:val="0"/>
        <w:keepLines w:val="0"/>
        <w:widowControl/>
        <w:suppressLineNumbers w:val="0"/>
        <w:ind w:left="0" w:leftChars="0" w:firstLine="280" w:firstLineChars="100"/>
        <w:rPr>
          <w:rFonts w:hint="eastAsia" w:ascii="Arial" w:hAnsi="Arial" w:eastAsia="黑体" w:cs="Arial"/>
          <w:b w:val="0"/>
          <w:bCs/>
          <w:kern w:val="0"/>
          <w:sz w:val="28"/>
          <w:szCs w:val="27"/>
          <w:lang w:val="en-US" w:eastAsia="zh-CN" w:bidi="he-IL"/>
        </w:rPr>
      </w:pPr>
      <w:r>
        <w:rPr>
          <w:rFonts w:hint="eastAsia" w:ascii="Arial" w:hAnsi="Arial" w:eastAsia="黑体" w:cs="Arial"/>
          <w:b w:val="0"/>
          <w:bCs/>
          <w:kern w:val="0"/>
          <w:sz w:val="28"/>
          <w:szCs w:val="27"/>
          <w:lang w:val="en-US" w:eastAsia="zh-CN" w:bidi="he-IL"/>
        </w:rPr>
        <w:t>1.7.4 案例反思与方法总结</w:t>
      </w:r>
    </w:p>
    <w:p w14:paraId="2A3EA0E2">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本节以《美联储加息对中国A股市场波动的影响》为主题，系统演示了如何借助AIGC工具完成从选题构思、文献综述撰写、数据分析、成果润色到展示材料生成的完整科研流程。该案例的实施过程揭示出AIGC在经管类科研中的应用价值，也暴露出一些使用限制与改进空间。通过对全流程操作进行反思与提炼，可为读者提供可复制、可推广的方法路径。</w:t>
      </w:r>
    </w:p>
    <w:p w14:paraId="7FAF4A8A">
      <w:pPr>
        <w:keepNext w:val="0"/>
        <w:keepLines w:val="0"/>
        <w:pageBreakBefore w:val="0"/>
        <w:widowControl w:val="0"/>
        <w:kinsoku/>
        <w:wordWrap/>
        <w:overflowPunct/>
        <w:topLinePunct w:val="0"/>
        <w:autoSpaceDE/>
        <w:autoSpaceDN/>
        <w:bidi w:val="0"/>
        <w:adjustRightInd/>
        <w:snapToGrid/>
        <w:spacing w:line="332" w:lineRule="exac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（一）AIGC在科研流程中的价值体现</w:t>
      </w:r>
    </w:p>
    <w:p w14:paraId="3806A4B9">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从本案例的操作流程来看，AIGC技术在多个科研环节中展现出显著的效率提升与质量保障功能，具体包括：</w:t>
      </w:r>
    </w:p>
    <w:p w14:paraId="73995FC8">
      <w:pPr>
        <w:keepNext w:val="0"/>
        <w:keepLines w:val="0"/>
        <w:pageBreakBefore w:val="0"/>
        <w:widowControl w:val="0"/>
        <w:numPr>
          <w:ilvl w:val="0"/>
          <w:numId w:val="9"/>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选题与结构构思阶段：通过结构化Prompt输入，模型可快速输出研究背景、研究问题与核心假设框架，显著缩短选题入门时间，提升选题逻辑性；</w:t>
      </w:r>
    </w:p>
    <w:p w14:paraId="29ABC18D">
      <w:pPr>
        <w:keepNext w:val="0"/>
        <w:keepLines w:val="0"/>
        <w:pageBreakBefore w:val="0"/>
        <w:widowControl w:val="0"/>
        <w:numPr>
          <w:ilvl w:val="0"/>
          <w:numId w:val="9"/>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文献综述生成阶段：模型能基于关键词自动生成符合学术风格的文献综述段落，并归纳主流研究方向、方法类别与研究缺口，尤其适用于初学者构建“学术地图”；</w:t>
      </w:r>
    </w:p>
    <w:p w14:paraId="0DED2773">
      <w:pPr>
        <w:keepNext w:val="0"/>
        <w:keepLines w:val="0"/>
        <w:pageBreakBefore w:val="0"/>
        <w:widowControl w:val="0"/>
        <w:numPr>
          <w:ilvl w:val="0"/>
          <w:numId w:val="9"/>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数据分析阶段：结合结构化数据文件与图表指令，AIGC可完成趋势图生成、数值归纳与段落解释，实现从“数据→洞察”的自动转化；</w:t>
      </w:r>
    </w:p>
    <w:p w14:paraId="21DF46AD">
      <w:pPr>
        <w:keepNext w:val="0"/>
        <w:keepLines w:val="0"/>
        <w:pageBreakBefore w:val="0"/>
        <w:widowControl w:val="0"/>
        <w:numPr>
          <w:ilvl w:val="0"/>
          <w:numId w:val="9"/>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语言润色与降重阶段：借助中文科研写作模型（如秘塔写作猫），可在保持原意的前提下生成逻辑更清晰、语言更规范的段落版本，同时规避潜在重复率风险；</w:t>
      </w:r>
    </w:p>
    <w:p w14:paraId="5FD5C0CC">
      <w:pPr>
        <w:keepNext w:val="0"/>
        <w:keepLines w:val="0"/>
        <w:pageBreakBefore w:val="0"/>
        <w:widowControl w:val="0"/>
        <w:numPr>
          <w:ilvl w:val="0"/>
          <w:numId w:val="9"/>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成果展示阶段：通过AI演示生成工具，研究者可快速整合已有材料，输出结构化PPT、摘要文档和Markdown草稿，适配课堂展示、项目申报等多场景需求。</w:t>
      </w:r>
    </w:p>
    <w:p w14:paraId="15A3F416">
      <w:pPr>
        <w:keepNext w:val="0"/>
        <w:keepLines w:val="0"/>
        <w:pageBreakBefore w:val="0"/>
        <w:widowControl w:val="0"/>
        <w:kinsoku/>
        <w:wordWrap/>
        <w:overflowPunct/>
        <w:topLinePunct w:val="0"/>
        <w:autoSpaceDE/>
        <w:autoSpaceDN/>
        <w:bidi w:val="0"/>
        <w:adjustRightInd/>
        <w:snapToGrid/>
        <w:spacing w:line="332" w:lineRule="exac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（二）方法论总结：Prompt设计与任务拆解是核心</w:t>
      </w:r>
    </w:p>
    <w:p w14:paraId="16A88F96">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回顾整个案例，成功实施AIGC辅助科研的关键在于</w:t>
      </w:r>
      <w:r>
        <w:rPr>
          <w:rFonts w:hint="eastAsia" w:ascii="Times New Roman" w:hAnsi="Times New Roman" w:eastAsia="宋体" w:cs="Times New Roman"/>
          <w:b/>
          <w:bCs/>
          <w:i/>
          <w:iCs/>
          <w:kern w:val="2"/>
          <w:sz w:val="21"/>
          <w:szCs w:val="24"/>
          <w:lang w:val="en-US" w:eastAsia="zh-CN" w:bidi="ar-SA"/>
        </w:rPr>
        <w:t>“任务拆解清晰 + Prompt设计科学”</w:t>
      </w:r>
      <w:r>
        <w:rPr>
          <w:rFonts w:hint="eastAsia" w:ascii="Times New Roman" w:hAnsi="Times New Roman" w:eastAsia="宋体" w:cs="Times New Roman"/>
          <w:kern w:val="2"/>
          <w:sz w:val="21"/>
          <w:szCs w:val="24"/>
          <w:lang w:val="en-US" w:eastAsia="zh-CN" w:bidi="ar-SA"/>
        </w:rPr>
        <w:t>。只有将复杂科研任务划分为若干子任务，并为每一步设计具备明确指令性、结构约束性与输出要求的Prompt，才能确保生成内容具备可用性、学术性与逻辑性。</w:t>
      </w:r>
    </w:p>
    <w:p w14:paraId="6FEEAFC9">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在本案例中，推荐采用如下“科研五步法”与“Prompt设计三原则”：</w:t>
      </w:r>
    </w:p>
    <w:p w14:paraId="6AADEBCC">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科研五步法（AI辅助科研路径）：</w:t>
      </w:r>
    </w:p>
    <w:p w14:paraId="39454F54">
      <w:pPr>
        <w:keepNext w:val="0"/>
        <w:keepLines w:val="0"/>
        <w:pageBreakBefore w:val="0"/>
        <w:widowControl w:val="0"/>
        <w:numPr>
          <w:ilvl w:val="0"/>
          <w:numId w:val="10"/>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研究问题构建（关键词+研究假设）；</w:t>
      </w:r>
    </w:p>
    <w:p w14:paraId="6881B3A0">
      <w:pPr>
        <w:keepNext w:val="0"/>
        <w:keepLines w:val="0"/>
        <w:pageBreakBefore w:val="0"/>
        <w:widowControl w:val="0"/>
        <w:numPr>
          <w:ilvl w:val="0"/>
          <w:numId w:val="10"/>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文献综述生成（结构化综述模板+引用提示）；</w:t>
      </w:r>
    </w:p>
    <w:p w14:paraId="6978D496">
      <w:pPr>
        <w:keepNext w:val="0"/>
        <w:keepLines w:val="0"/>
        <w:pageBreakBefore w:val="0"/>
        <w:widowControl w:val="0"/>
        <w:numPr>
          <w:ilvl w:val="0"/>
          <w:numId w:val="10"/>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数据分析设计（数据格式+图表类型+分析维度）；</w:t>
      </w:r>
    </w:p>
    <w:p w14:paraId="19BCCCA3">
      <w:pPr>
        <w:keepNext w:val="0"/>
        <w:keepLines w:val="0"/>
        <w:pageBreakBefore w:val="0"/>
        <w:widowControl w:val="0"/>
        <w:numPr>
          <w:ilvl w:val="0"/>
          <w:numId w:val="10"/>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成果润色降重（语义逻辑+重复率检测）；</w:t>
      </w:r>
    </w:p>
    <w:p w14:paraId="39433584">
      <w:pPr>
        <w:keepNext w:val="0"/>
        <w:keepLines w:val="0"/>
        <w:pageBreakBefore w:val="0"/>
        <w:widowControl w:val="0"/>
        <w:numPr>
          <w:ilvl w:val="0"/>
          <w:numId w:val="10"/>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展示输出集成（模块拆分+结构化导出）。</w:t>
      </w:r>
    </w:p>
    <w:p w14:paraId="046813B9">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p>
    <w:p w14:paraId="2D49E931">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Prompt设计三原则：</w:t>
      </w:r>
    </w:p>
    <w:p w14:paraId="579F631E">
      <w:pPr>
        <w:keepNext w:val="0"/>
        <w:keepLines w:val="0"/>
        <w:pageBreakBefore w:val="0"/>
        <w:widowControl w:val="0"/>
        <w:numPr>
          <w:ilvl w:val="0"/>
          <w:numId w:val="11"/>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明确性（Task Clarity）：明确告诉模型“要做什么”；</w:t>
      </w:r>
    </w:p>
    <w:p w14:paraId="2AAF50B1">
      <w:pPr>
        <w:keepNext w:val="0"/>
        <w:keepLines w:val="0"/>
        <w:pageBreakBefore w:val="0"/>
        <w:widowControl w:val="0"/>
        <w:numPr>
          <w:ilvl w:val="0"/>
          <w:numId w:val="11"/>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结构性（Structural Constraint）：设定输出结构（如3段式综述，4点式建议）；</w:t>
      </w:r>
    </w:p>
    <w:p w14:paraId="3E0D19AD">
      <w:pPr>
        <w:keepNext w:val="0"/>
        <w:keepLines w:val="0"/>
        <w:pageBreakBefore w:val="0"/>
        <w:widowControl w:val="0"/>
        <w:numPr>
          <w:ilvl w:val="0"/>
          <w:numId w:val="11"/>
        </w:numPr>
        <w:kinsoku/>
        <w:wordWrap/>
        <w:overflowPunct/>
        <w:topLinePunct w:val="0"/>
        <w:autoSpaceDE/>
        <w:autoSpaceDN/>
        <w:bidi w:val="0"/>
        <w:adjustRightInd/>
        <w:snapToGrid/>
        <w:spacing w:line="332" w:lineRule="exact"/>
        <w:ind w:left="845" w:leftChars="0" w:hanging="425"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要求性（Output Requirement）：限定字数、语言风格、输出形式等。</w:t>
      </w:r>
    </w:p>
    <w:p w14:paraId="328DF473">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举例而言，相较于模糊的“写一段关于加息影响的综述”，高质量Prompt应写为：“请基于‘货币政策冲击’与‘A股市场波动’两个关键词，生成一段200字以内、符合学术论文风格的综述文字，包含主流研究方法与研究空白。”</w:t>
      </w:r>
    </w:p>
    <w:p w14:paraId="315477B5">
      <w:pPr>
        <w:keepNext w:val="0"/>
        <w:keepLines w:val="0"/>
        <w:pageBreakBefore w:val="0"/>
        <w:widowControl w:val="0"/>
        <w:kinsoku/>
        <w:wordWrap/>
        <w:overflowPunct/>
        <w:topLinePunct w:val="0"/>
        <w:autoSpaceDE/>
        <w:autoSpaceDN/>
        <w:bidi w:val="0"/>
        <w:adjustRightInd/>
        <w:snapToGrid/>
        <w:spacing w:line="332" w:lineRule="exac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（三）使用限制与优化建议</w:t>
      </w:r>
    </w:p>
    <w:p w14:paraId="661B9FAD">
      <w:pPr>
        <w:keepNext w:val="0"/>
        <w:keepLines w:val="0"/>
        <w:pageBreakBefore w:val="0"/>
        <w:widowControl w:val="0"/>
        <w:numPr>
          <w:ilvl w:val="0"/>
          <w:numId w:val="12"/>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尽管AIGC工具在效率提升方面表现突出，但在本案例的实施过程中也暴露出一些值得注意的限制：</w:t>
      </w:r>
    </w:p>
    <w:p w14:paraId="213E111C">
      <w:pPr>
        <w:keepNext w:val="0"/>
        <w:keepLines w:val="0"/>
        <w:pageBreakBefore w:val="0"/>
        <w:widowControl w:val="0"/>
        <w:numPr>
          <w:ilvl w:val="0"/>
          <w:numId w:val="12"/>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事实性风险：部分模型生成的文献综述存在“幻觉”问题，即引用的作者、年份、文献标题不真实，需借助专业数据库进行人工校对；</w:t>
      </w:r>
    </w:p>
    <w:p w14:paraId="4CB53271">
      <w:pPr>
        <w:keepNext w:val="0"/>
        <w:keepLines w:val="0"/>
        <w:pageBreakBefore w:val="0"/>
        <w:widowControl w:val="0"/>
        <w:numPr>
          <w:ilvl w:val="0"/>
          <w:numId w:val="12"/>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图表与语义错配：在数据可视化阶段，如未设定明确图表类型与标签指令，模型可能输出格式错误或语义模糊的图示说明；</w:t>
      </w:r>
    </w:p>
    <w:p w14:paraId="7FE962C5">
      <w:pPr>
        <w:keepNext w:val="0"/>
        <w:keepLines w:val="0"/>
        <w:pageBreakBefore w:val="0"/>
        <w:widowControl w:val="0"/>
        <w:numPr>
          <w:ilvl w:val="0"/>
          <w:numId w:val="12"/>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学术规范意识薄弱：部分模型默认风格偏向网络口语化，需通过风格指令限制其语言表达，保障文本的学术规范性。</w:t>
      </w:r>
    </w:p>
    <w:p w14:paraId="370E3B98">
      <w:pPr>
        <w:keepNext w:val="0"/>
        <w:keepLines w:val="0"/>
        <w:pageBreakBefore w:val="0"/>
        <w:widowControl w:val="0"/>
        <w:numPr>
          <w:ilvl w:val="0"/>
          <w:numId w:val="12"/>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优化使用效果，建议读者在AIGC工具使用过程中坚持“人机协同”理念：将AIGC作为草稿生成与结构构建的助手，而非最终成果的完全替代品。最终输出仍需由研究者进行人工校验、逻辑修正与表达润色，以确保科研成果的可靠性与严谨性。</w:t>
      </w:r>
    </w:p>
    <w:p w14:paraId="21043051">
      <w:pPr>
        <w:keepNext w:val="0"/>
        <w:keepLines w:val="0"/>
        <w:pageBreakBefore w:val="0"/>
        <w:widowControl w:val="0"/>
        <w:kinsoku/>
        <w:wordWrap/>
        <w:overflowPunct/>
        <w:topLinePunct w:val="0"/>
        <w:autoSpaceDE/>
        <w:autoSpaceDN/>
        <w:bidi w:val="0"/>
        <w:adjustRightInd/>
        <w:snapToGrid/>
        <w:spacing w:line="332" w:lineRule="exact"/>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（四）教学建议与实践拓展</w:t>
      </w:r>
    </w:p>
    <w:p w14:paraId="5D1417E9">
      <w:pPr>
        <w:keepNext w:val="0"/>
        <w:keepLines w:val="0"/>
        <w:pageBreakBefore w:val="0"/>
        <w:widowControl w:val="0"/>
        <w:kinsoku/>
        <w:wordWrap/>
        <w:overflowPunct/>
        <w:topLinePunct w:val="0"/>
        <w:autoSpaceDE/>
        <w:autoSpaceDN/>
        <w:bidi w:val="0"/>
        <w:adjustRightInd/>
        <w:snapToGrid/>
        <w:spacing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本案例也可作为教学实训的素材，组织学生在真实任务中训练AIGC使用能力。建议设置如下教学任务：</w:t>
      </w:r>
    </w:p>
    <w:p w14:paraId="79EEBABF">
      <w:pPr>
        <w:keepNext w:val="0"/>
        <w:keepLines w:val="0"/>
        <w:pageBreakBefore w:val="0"/>
        <w:widowControl w:val="0"/>
        <w:numPr>
          <w:ilvl w:val="0"/>
          <w:numId w:val="13"/>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任务拆解训练：学生根据研究主题，自行设计五步科研流程任务，并撰写各环节Prompt；</w:t>
      </w:r>
    </w:p>
    <w:p w14:paraId="6E0DC397">
      <w:pPr>
        <w:keepNext w:val="0"/>
        <w:keepLines w:val="0"/>
        <w:pageBreakBefore w:val="0"/>
        <w:widowControl w:val="0"/>
        <w:numPr>
          <w:ilvl w:val="0"/>
          <w:numId w:val="13"/>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生成对比分析：对比“模糊Prompt”与“结构化Prompt”生成结果的质量差异，提升提示词设计能力；</w:t>
      </w:r>
    </w:p>
    <w:p w14:paraId="78BD314B">
      <w:pPr>
        <w:keepNext w:val="0"/>
        <w:keepLines w:val="0"/>
        <w:pageBreakBefore w:val="0"/>
        <w:widowControl w:val="0"/>
        <w:numPr>
          <w:ilvl w:val="0"/>
          <w:numId w:val="13"/>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人机协同编辑：要求学生在AI草稿基础上，完成人工润色并写出使用反思；</w:t>
      </w:r>
    </w:p>
    <w:p w14:paraId="0C95DAE5">
      <w:pPr>
        <w:keepNext w:val="0"/>
        <w:keepLines w:val="0"/>
        <w:pageBreakBefore w:val="0"/>
        <w:widowControl w:val="0"/>
        <w:numPr>
          <w:ilvl w:val="0"/>
          <w:numId w:val="13"/>
        </w:numPr>
        <w:kinsoku/>
        <w:wordWrap/>
        <w:overflowPunct/>
        <w:topLinePunct w:val="0"/>
        <w:autoSpaceDE/>
        <w:autoSpaceDN/>
        <w:bidi w:val="0"/>
        <w:adjustRightInd/>
        <w:snapToGrid/>
        <w:spacing w:line="332" w:lineRule="exact"/>
        <w:ind w:left="840" w:leftChars="0" w:hanging="420" w:firstLineChars="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多工具联合应用：设计跨平台任务，整合智谱清言（提纲）、讯飞星火（综述）、百川助手（图表）、WPS AI（PPT）等工具，完成完整案例再现。</w:t>
      </w:r>
    </w:p>
    <w:p w14:paraId="5D968096">
      <w:pPr>
        <w:widowControl w:val="0"/>
        <w:adjustRightInd/>
        <w:spacing w:line="332" w:lineRule="atLeast"/>
        <w:jc w:val="both"/>
        <w:textAlignment w:val="auto"/>
        <w:rPr>
          <w:rFonts w:hint="eastAsia" w:ascii="宋体" w:hAnsi="宋体" w:eastAsia="宋体" w:cs="宋体"/>
          <w:i w:val="0"/>
          <w:iCs w:val="0"/>
          <w:caps w:val="0"/>
          <w:spacing w:val="0"/>
          <w:kern w:val="0"/>
          <w:sz w:val="21"/>
          <w:szCs w:val="21"/>
          <w:shd w:val="clear" w:fill="FFFFFF"/>
          <w:lang w:val="en-US" w:eastAsia="zh-CN" w:bidi="ar"/>
        </w:rPr>
      </w:pPr>
      <w:r>
        <w:rPr>
          <w:rFonts w:hint="eastAsia" w:ascii="宋体" w:hAnsi="宋体" w:eastAsia="宋体" w:cs="宋体"/>
          <w:i w:val="0"/>
          <w:iCs w:val="0"/>
          <w:caps w:val="0"/>
          <w:spacing w:val="0"/>
          <w:kern w:val="0"/>
          <w:sz w:val="21"/>
          <w:szCs w:val="21"/>
          <w:shd w:val="clear" w:fill="FFFFFF"/>
          <w:lang w:val="en-US" w:eastAsia="zh-CN" w:bidi="ar"/>
        </w:rPr>
        <w:br w:type="page"/>
      </w:r>
    </w:p>
    <w:p w14:paraId="3D4211A9">
      <w:pPr>
        <w:keepNext/>
        <w:widowControl w:val="0"/>
        <w:wordWrap w:val="0"/>
        <w:autoSpaceDE w:val="0"/>
        <w:autoSpaceDN w:val="0"/>
        <w:adjustRightInd w:val="0"/>
        <w:spacing w:before="152" w:beforeLines="50" w:line="240" w:lineRule="auto"/>
        <w:ind w:left="1682" w:hanging="1674" w:hangingChars="299"/>
        <w:jc w:val="right"/>
        <w:textAlignment w:val="auto"/>
        <w:outlineLvl w:val="0"/>
        <w:rPr>
          <w:rFonts w:hint="eastAsia" w:ascii="方正大黑简体" w:hAnsi="Arial" w:eastAsia="方正大黑简体" w:cs="Times New Roman"/>
          <w:color w:val="000000"/>
          <w:kern w:val="2"/>
          <w:sz w:val="52"/>
          <w:lang w:val="en-US" w:eastAsia="zh-CN" w:bidi="ar-SA"/>
        </w:rPr>
      </w:pPr>
      <w:r>
        <w:rPr>
          <w:rFonts w:hint="eastAsia" w:ascii="方正大黑简体" w:hAnsi="Arial" w:eastAsia="方正大黑简体" w:cs="Times New Roman"/>
          <w:color w:val="000000"/>
          <w:kern w:val="2"/>
          <w:sz w:val="56"/>
          <w:lang w:val="en-US" w:eastAsia="zh-CN" w:bidi="ar-SA"/>
        </w:rPr>
        <w:t xml:space="preserve">第 2 章 </w:t>
      </w:r>
    </w:p>
    <w:p w14:paraId="717EA874">
      <w:pPr>
        <w:keepNext/>
        <w:widowControl w:val="0"/>
        <w:wordWrap w:val="0"/>
        <w:autoSpaceDE w:val="0"/>
        <w:autoSpaceDN w:val="0"/>
        <w:adjustRightInd w:val="0"/>
        <w:spacing w:before="305" w:beforeLines="100" w:line="240" w:lineRule="auto"/>
        <w:ind w:left="1682" w:hanging="1674" w:hangingChars="299"/>
        <w:jc w:val="right"/>
        <w:textAlignment w:val="auto"/>
        <w:outlineLvl w:val="0"/>
        <w:rPr>
          <w:rFonts w:hint="eastAsia" w:ascii="宋体" w:hAnsi="宋体" w:eastAsia="宋体" w:cs="宋体"/>
          <w:b/>
          <w:lang w:val="en-US" w:eastAsia="zh-CN"/>
        </w:rPr>
      </w:pPr>
      <w:r>
        <w:rPr>
          <w:rFonts w:hint="eastAsia" w:ascii="方正大黑简体" w:hAnsi="Arial" w:eastAsia="方正大黑简体" w:cs="Times New Roman"/>
          <w:color w:val="000000"/>
          <w:kern w:val="2"/>
          <w:sz w:val="56"/>
          <w:lang w:val="en-US" w:eastAsia="zh-CN" w:bidi="ar-SA"/>
        </w:rPr>
        <w:t>文生文工具场景篇</w:t>
      </w:r>
      <w:r>
        <w:rPr>
          <w:rFonts w:ascii="方正大黑简体" w:hAnsi="Arial" w:eastAsia="方正大黑简体" w:cs="Times New Roman"/>
          <w:color w:val="000000"/>
          <w:kern w:val="2"/>
          <w:sz w:val="56"/>
          <w:lang w:val="en-US" w:eastAsia="zh-CN" w:bidi="ar-SA"/>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62865</wp:posOffset>
                </wp:positionV>
                <wp:extent cx="4823460" cy="53975"/>
                <wp:effectExtent l="0" t="0" r="15240" b="3175"/>
                <wp:wrapNone/>
                <wp:docPr id="9" name="矩形 9"/>
                <wp:cNvGraphicFramePr/>
                <a:graphic xmlns:a="http://schemas.openxmlformats.org/drawingml/2006/main">
                  <a:graphicData uri="http://schemas.microsoft.com/office/word/2010/wordprocessingShape">
                    <wps:wsp>
                      <wps:cNvSpPr/>
                      <wps:spPr>
                        <a:xfrm>
                          <a:off x="0" y="0"/>
                          <a:ext cx="4823460" cy="53975"/>
                        </a:xfrm>
                        <a:prstGeom prst="rect">
                          <a:avLst/>
                        </a:prstGeom>
                        <a:solidFill>
                          <a:srgbClr val="C0C0C0"/>
                        </a:solidFill>
                        <a:ln>
                          <a:noFill/>
                        </a:ln>
                      </wps:spPr>
                      <wps:bodyPr upright="1"/>
                    </wps:wsp>
                  </a:graphicData>
                </a:graphic>
              </wp:anchor>
            </w:drawing>
          </mc:Choice>
          <mc:Fallback>
            <w:pict>
              <v:rect id="_x0000_s1026" o:spid="_x0000_s1026" o:spt="1" style="position:absolute;left:0pt;margin-left:0pt;margin-top:4.95pt;height:4.25pt;width:379.8pt;z-index:251660288;mso-width-relative:page;mso-height-relative:page;" fillcolor="#C0C0C0" filled="t" stroked="f" coordsize="21600,21600" o:gfxdata="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7mBZ9QA&#10;AAAFAQAADwAAAAAAAAABACAAAAAiAAAAZHJzL2Rvd25yZXYueG1sUEsBAhQAFAAAAAgAh07iQHMD&#10;QHixAQAAXgMAAA4AAAAAAAAAAQAgAAAAIwEAAGRycy9lMm9Eb2MueG1sUEsFBgAAAAAGAAYAWQEA&#10;AEYFAAAAAA==&#10;">
                <v:fill on="t" focussize="0,0"/>
                <v:stroke on="f"/>
                <v:imagedata o:title=""/>
                <o:lock v:ext="edit" aspectratio="f"/>
              </v:rect>
            </w:pict>
          </mc:Fallback>
        </mc:AlternateContent>
      </w:r>
      <w:r>
        <w:rPr>
          <w:rFonts w:hint="eastAsia" w:ascii="方正大黑简体" w:hAnsi="Arial" w:eastAsia="方正大黑简体" w:cs="Times New Roman"/>
          <w:color w:val="000000"/>
          <w:kern w:val="2"/>
          <w:sz w:val="56"/>
          <w:lang w:val="en-US" w:eastAsia="zh-CN" w:bidi="ar-SA"/>
        </w:rPr>
        <w:t xml:space="preserve"> </w:t>
      </w:r>
    </w:p>
    <w:p w14:paraId="0440CBE1">
      <w:pPr>
        <w:pStyle w:val="24"/>
        <w:numPr>
          <w:ilvl w:val="0"/>
          <w:numId w:val="0"/>
        </w:numPr>
        <w:bidi w:val="0"/>
        <w:ind w:leftChars="0"/>
        <w:rPr>
          <w:rFonts w:hint="eastAsia" w:eastAsia="楷体_GB2312"/>
          <w:lang w:val="en-US" w:eastAsia="zh-CN"/>
        </w:rPr>
      </w:pPr>
      <w:r>
        <w:rPr>
          <w:rFonts w:hint="eastAsia"/>
          <w:lang w:val="en-US" w:eastAsia="zh-CN"/>
        </w:rPr>
        <w:t>2.1</w:t>
      </w:r>
      <w:r>
        <w:rPr>
          <w:lang w:val="en-US" w:eastAsia="zh-CN"/>
        </w:rPr>
        <w:t xml:space="preserve">  </w:t>
      </w:r>
      <w:r>
        <w:rPr>
          <w:rFonts w:hint="eastAsia" w:eastAsia="楷体_GB2312"/>
          <w:lang w:val="en-US" w:eastAsia="zh-CN"/>
        </w:rPr>
        <w:t>AI+备课与写作</w:t>
      </w:r>
    </w:p>
    <w:p w14:paraId="1C274931">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AIGC工具在备课与写作场景中能显著提升效率与质量。在备课方面，AI可辅助教师快速生成结构化的课程大纲、知识框架与思维导图，并整合多源资料产出针对性教学素材，节省信息筛选时间。还能根据章节智能调取参考资料，结合自定义指令，多个人工智能协同输出，交叉验证、消除幻觉，提升效率和质量。还能与大模型协同反复蒸馏优化。</w:t>
      </w:r>
    </w:p>
    <w:p w14:paraId="0E92AE50">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在教学场景，可以通过AI模拟出题、问答，对所学知识不断加固，可以通过过往题库让AI根据个人的知识图谱和数字画像，有针对性地出练习题，根据学生答题数据生成定制化复习方案，千人千面补短板。</w:t>
      </w:r>
    </w:p>
    <w:p w14:paraId="042EC2E7">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在科研选题及各类评选场景，AI工具能够基于师生的个人知识图谱，结合学科大模型大数据，智能辅助选题，同样支持多模型协同输出与查重，提升选题命中率与申报通过率。</w:t>
      </w:r>
    </w:p>
    <w:p w14:paraId="3787B63F">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76"/>
      </w:tblGrid>
      <w:tr w14:paraId="45556C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76" w:type="dxa"/>
          </w:tcPr>
          <w:p w14:paraId="672AA0B3">
            <w:pPr>
              <w:keepNext w:val="0"/>
              <w:keepLines w:val="0"/>
              <w:pageBreakBefore w:val="0"/>
              <w:widowControl w:val="0"/>
              <w:kinsoku/>
              <w:wordWrap/>
              <w:overflowPunct/>
              <w:topLinePunct w:val="0"/>
              <w:autoSpaceDE/>
              <w:autoSpaceDN/>
              <w:bidi w:val="0"/>
              <w:adjustRightInd w:val="0"/>
              <w:snapToGrid w:val="0"/>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6409690" cy="2856230"/>
                  <wp:effectExtent l="0" t="0" r="2540" b="4445"/>
                  <wp:docPr id="37" name="图片 37" descr="2-1.2AI备课写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1.2AI备课写作"/>
                          <pic:cNvPicPr>
                            <a:picLocks noChangeAspect="1"/>
                          </pic:cNvPicPr>
                        </pic:nvPicPr>
                        <pic:blipFill>
                          <a:blip r:embed="rId29"/>
                          <a:stretch>
                            <a:fillRect/>
                          </a:stretch>
                        </pic:blipFill>
                        <pic:spPr>
                          <a:xfrm>
                            <a:off x="0" y="0"/>
                            <a:ext cx="6409690" cy="2856230"/>
                          </a:xfrm>
                          <a:prstGeom prst="rect">
                            <a:avLst/>
                          </a:prstGeom>
                        </pic:spPr>
                      </pic:pic>
                    </a:graphicData>
                  </a:graphic>
                </wp:inline>
              </w:drawing>
            </w:r>
          </w:p>
          <w:p w14:paraId="0FC4863C">
            <w:pPr>
              <w:ind w:left="0" w:leftChars="0" w:firstLine="0" w:firstLineChars="0"/>
              <w:jc w:val="center"/>
              <w:rPr>
                <w:rFonts w:hint="default"/>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2</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1 自选</w:t>
            </w:r>
            <w:r>
              <w:rPr>
                <w:rFonts w:hint="eastAsia"/>
                <w:sz w:val="18"/>
                <w:szCs w:val="18"/>
                <w:lang w:val="en-US" w:eastAsia="zh-CN"/>
              </w:rPr>
              <w:t>多个AI根据提示词同时生成段落，交叉验证后再次指定AI进行总结——AI魔方</w:t>
            </w:r>
          </w:p>
        </w:tc>
      </w:tr>
    </w:tbl>
    <w:p w14:paraId="5218E971">
      <w:pPr>
        <w:pStyle w:val="24"/>
        <w:numPr>
          <w:ilvl w:val="0"/>
          <w:numId w:val="0"/>
        </w:numPr>
        <w:bidi w:val="0"/>
        <w:ind w:leftChars="0"/>
        <w:rPr>
          <w:rFonts w:hint="eastAsia" w:eastAsia="楷体_GB2312"/>
          <w:lang w:val="en-US" w:eastAsia="zh-CN"/>
        </w:rPr>
      </w:pPr>
      <w:bookmarkStart w:id="2" w:name="OLE_LINK4"/>
      <w:r>
        <w:rPr>
          <w:rFonts w:hint="eastAsia"/>
          <w:lang w:val="en-US" w:eastAsia="zh-CN"/>
        </w:rPr>
        <w:t>2.2</w:t>
      </w:r>
      <w:r>
        <w:rPr>
          <w:lang w:val="en-US" w:eastAsia="zh-CN"/>
        </w:rPr>
        <w:t xml:space="preserve">  </w:t>
      </w:r>
      <w:r>
        <w:rPr>
          <w:rFonts w:hint="eastAsia" w:eastAsia="楷体_GB2312"/>
          <w:lang w:val="en-US" w:eastAsia="zh-CN"/>
        </w:rPr>
        <w:t>AI+笔记与个人知识管理</w:t>
      </w:r>
    </w:p>
    <w:p w14:paraId="5B9A8194">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个人知识管理方面，AI工具能够有效优化信息获取与处理效率，如利用Kimi等智能应用对课堂录音进行实时转录，可以自动生成文字记录，还能智能识别核心内容进行重点标注并构建知识点关联图谱，显著提升笔记整理的深度与结构化程度。</w:t>
      </w:r>
    </w:p>
    <w:p w14:paraId="7B49D3ED">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在学习与科研场景中，支持Markdown格式</w:t>
      </w:r>
      <w:bookmarkEnd w:id="2"/>
      <w:r>
        <w:rPr>
          <w:rFonts w:hint="eastAsia" w:ascii="Times New Roman" w:hAnsi="Times New Roman" w:eastAsia="宋体" w:cs="Times New Roman"/>
          <w:kern w:val="2"/>
          <w:sz w:val="21"/>
          <w:lang w:val="en-US" w:eastAsia="zh-CN" w:bidi="ar-SA"/>
        </w:rPr>
        <w:t>的AI笔记工具因其语法简洁、文件轻量且便于人工智能解析处理等优势，提升知识库优质内容沉淀与提取效率。AI进一步赋能笔记，可快速解析讲座文稿或著作内容，自动提炼核心要点并生成思维导图，使用户能据此进行针对性阅读与延伸。</w:t>
      </w:r>
    </w:p>
    <w:p w14:paraId="35A9A753">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为了构建持续演进的知识体系，将上述过程中产生的笔记、论文等高质量内容导入个人知识库是关键一步。我们推荐选用支持在本地电脑保存数据、可导出通用格式并拥有实时保存功能的解决方案，这为内容的长期存储与安全可控提供了保障。借助RAG技术对知识库进行高效的动态检索与内容更新，温故知新促进理论知识与实际应用场景的深度结合，引导用户在复习巩固的基础上，对既有知识在新情境下的应用可能性展开更深刻的思考，推动个人知识管理的螺旋式上升。</w:t>
      </w:r>
    </w:p>
    <w:p w14:paraId="495E0C88">
      <w:pPr>
        <w:pStyle w:val="24"/>
        <w:numPr>
          <w:ilvl w:val="0"/>
          <w:numId w:val="0"/>
        </w:numPr>
        <w:bidi w:val="0"/>
        <w:ind w:leftChars="0"/>
        <w:rPr>
          <w:rFonts w:hint="eastAsia" w:eastAsia="楷体_GB2312"/>
          <w:lang w:val="en-US" w:eastAsia="zh-CN"/>
        </w:rPr>
      </w:pPr>
      <w:r>
        <w:rPr>
          <w:rFonts w:hint="eastAsia"/>
          <w:lang w:val="en-US" w:eastAsia="zh-CN"/>
        </w:rPr>
        <w:t>2.3</w:t>
      </w:r>
      <w:r>
        <w:rPr>
          <w:lang w:val="en-US" w:eastAsia="zh-CN"/>
        </w:rPr>
        <w:t xml:space="preserve">  </w:t>
      </w:r>
      <w:r>
        <w:rPr>
          <w:rFonts w:hint="eastAsia" w:eastAsia="楷体_GB2312"/>
          <w:lang w:val="en-US" w:eastAsia="zh-CN"/>
        </w:rPr>
        <w:t>AI+学术降重</w:t>
      </w:r>
    </w:p>
    <w:p w14:paraId="5ED89377">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随着高校和期刊对 AIGC 检测的重视，若论文是借助 AI 辅助写作完成，可能会被检测出较高的 AIGC 率。此时可利用专门的 AIGC 降重工具，降低论文的 AIGC 痕迹，使其更符合学术要求。AI工具中有很多 AIGC 降重工具，主要原理如替换同义词、改变句式结构、语态转换、问题前置、视角植入等方法，让表述更丰富多样，降低重复率。若论文篇幅较长，建议将其按段落或章节分开上传至降重工具。这样可确保每个部分的降重质量，避免一次性处理导致大量不必要的修改，也有助于更精确地控制每个段落的修改情况，防止破坏整体逻辑。AIGC 工具生成的内容可能存在逻辑不通、语法错误或语义不准确等问题。因此，降重后必须进行人工校对，检查文章的流畅性和逻辑性，确保修改后的内容符合学术要求，同时核对核心术语是否被正确替换，图表数据引用是否连贯等。完成降重和校对后，我们</w:t>
      </w:r>
      <w:bookmarkStart w:id="4" w:name="_GoBack"/>
      <w:bookmarkEnd w:id="4"/>
      <w:r>
        <w:rPr>
          <w:rFonts w:hint="eastAsia" w:ascii="Times New Roman" w:hAnsi="Times New Roman" w:eastAsia="宋体" w:cs="Times New Roman"/>
          <w:kern w:val="2"/>
          <w:sz w:val="21"/>
          <w:lang w:val="en-US" w:eastAsia="zh-CN" w:bidi="ar-SA"/>
        </w:rPr>
        <w:t>仍然建议使用专业的权威的查重工具，确保论文重复率和AIGC率符合学术规范，避免被标记为抄袭或过度引用。</w:t>
      </w:r>
    </w:p>
    <w:p w14:paraId="6B818DEA">
      <w:pPr>
        <w:pStyle w:val="24"/>
        <w:numPr>
          <w:ilvl w:val="0"/>
          <w:numId w:val="0"/>
        </w:numPr>
        <w:bidi w:val="0"/>
        <w:ind w:leftChars="0"/>
        <w:rPr>
          <w:rFonts w:hint="eastAsia" w:eastAsia="楷体_GB2312"/>
          <w:lang w:val="en-US" w:eastAsia="zh-CN"/>
        </w:rPr>
      </w:pPr>
      <w:r>
        <w:rPr>
          <w:rFonts w:hint="eastAsia"/>
          <w:lang w:val="en-US" w:eastAsia="zh-CN"/>
        </w:rPr>
        <w:t>2.4</w:t>
      </w:r>
      <w:r>
        <w:rPr>
          <w:lang w:val="en-US" w:eastAsia="zh-CN"/>
        </w:rPr>
        <w:t xml:space="preserve">  </w:t>
      </w:r>
      <w:r>
        <w:rPr>
          <w:rFonts w:hint="eastAsia" w:eastAsia="楷体_GB2312"/>
          <w:lang w:val="en-US" w:eastAsia="zh-CN"/>
        </w:rPr>
        <w:t>AI+理论构建</w:t>
      </w:r>
    </w:p>
    <w:p w14:paraId="3469583A">
      <w:pPr>
        <w:widowControl w:val="0"/>
        <w:adjustRightInd/>
        <w:spacing w:line="332" w:lineRule="atLeast"/>
        <w:ind w:firstLine="420"/>
        <w:jc w:val="both"/>
        <w:textAlignment w:val="auto"/>
        <w:rPr>
          <w:rFonts w:hint="eastAsia" w:ascii="Times New Roman" w:hAnsi="Times New Roman" w:eastAsia="宋体" w:cs="Times New Roman"/>
          <w:kern w:val="2"/>
          <w:sz w:val="21"/>
          <w:lang w:val="en-US" w:eastAsia="zh-CN" w:bidi="ar-SA"/>
        </w:rPr>
      </w:pPr>
      <w:r>
        <w:rPr>
          <w:rFonts w:hint="eastAsia" w:ascii="Times New Roman" w:hAnsi="Times New Roman" w:eastAsia="宋体" w:cs="Times New Roman"/>
          <w:kern w:val="2"/>
          <w:sz w:val="21"/>
          <w:lang w:val="en-US" w:eastAsia="zh-CN" w:bidi="ar-SA"/>
        </w:rPr>
        <w:t>在教研场景中，AIGC 文生文技术凭借其强大的文本生成与处理能力，能够为教育理论构建提供多维度支持，既可以辅助研究者梳理现有理论脉络，也能推动新理论的探索与验证。教育理论往往涉及多学科交叉（如教育学、心理学、社会学等），且存在大量经典理论、分支观点及演进脉络，研究者需耗费大量时间整合碎片化信息，形成系统框架。AIGC 文生文可高效完成理论梳理，降低体系化构建的门槛。理论的构建与发展往往需基于假设－验证的迭代循环，而假设的提出依赖对现有研究的归纳或对现象的洞察，AIGC 可通过分析海量文献或实际教学数据，生成可验证的理论假设，加速研究进程。AIGC 文生文在教研理论构建中，本质是作为 “智能辅助工具” 存在：它无法替代研究者的原创性思考，但能通过处理信息、提炼规律、转化表述等方式，降低理论构建的机械性工作成本，让研究者更聚焦于核心逻辑的创新与验证。使用时需注意结合人工校验（如文献引用的准确性、假设的合理性），避免被模型生成的 “看似合理但有误” 的内容误导。</w:t>
      </w:r>
    </w:p>
    <w:p w14:paraId="5892EC9F">
      <w:pPr>
        <w:rPr>
          <w:rFonts w:hint="eastAsia" w:ascii="宋体" w:hAnsi="宋体" w:eastAsia="宋体" w:cs="宋体"/>
          <w:i w:val="0"/>
          <w:iCs w:val="0"/>
          <w:caps w:val="0"/>
          <w:spacing w:val="0"/>
          <w:kern w:val="0"/>
          <w:sz w:val="21"/>
          <w:szCs w:val="21"/>
          <w:shd w:val="clear" w:fill="FFFFFF"/>
          <w:lang w:val="en-US" w:eastAsia="zh-CN" w:bidi="ar"/>
        </w:rPr>
      </w:pPr>
    </w:p>
    <w:p w14:paraId="753EC539">
      <w:pPr>
        <w:pStyle w:val="24"/>
        <w:numPr>
          <w:ilvl w:val="0"/>
          <w:numId w:val="0"/>
        </w:numPr>
        <w:bidi w:val="0"/>
        <w:ind w:leftChars="0"/>
        <w:rPr>
          <w:rFonts w:hint="eastAsia" w:ascii="Times New Roman" w:hAnsi="Times New Roman" w:eastAsia="宋体" w:cs="Times New Roman"/>
          <w:kern w:val="2"/>
          <w:sz w:val="21"/>
          <w:lang w:val="en-US" w:eastAsia="zh-CN" w:bidi="ar-SA"/>
        </w:rPr>
      </w:pPr>
      <w:bookmarkStart w:id="3" w:name="OLE_LINK5"/>
      <w:r>
        <w:rPr>
          <w:rFonts w:hint="eastAsia"/>
          <w:lang w:val="en-US" w:eastAsia="zh-CN"/>
        </w:rPr>
        <w:t>2.5</w:t>
      </w:r>
      <w:r>
        <w:rPr>
          <w:lang w:val="en-US" w:eastAsia="zh-CN"/>
        </w:rPr>
        <w:t xml:space="preserve">  </w:t>
      </w:r>
      <w:r>
        <w:rPr>
          <w:rFonts w:hint="eastAsia" w:eastAsia="楷体_GB2312"/>
          <w:lang w:val="en-US" w:eastAsia="zh-CN"/>
        </w:rPr>
        <w:t>案例：“比亚迪价格战”教学案例设计与题库生成</w:t>
      </w:r>
      <w:bookmarkEnd w:id="3"/>
    </w:p>
    <w:p w14:paraId="625D9333">
      <w:pPr>
        <w:pStyle w:val="12"/>
        <w:keepNext w:val="0"/>
        <w:keepLines w:val="0"/>
        <w:widowControl/>
        <w:suppressLineNumbers w:val="0"/>
        <w:ind w:left="0" w:leftChars="0" w:firstLine="280" w:firstLineChars="100"/>
        <w:rPr>
          <w:rFonts w:hint="eastAsia" w:ascii="Arial" w:hAnsi="Arial" w:eastAsia="黑体" w:cs="Arial"/>
          <w:b w:val="0"/>
          <w:bCs/>
          <w:kern w:val="0"/>
          <w:sz w:val="28"/>
          <w:szCs w:val="27"/>
          <w:lang w:val="en-US" w:eastAsia="zh-CN" w:bidi="he-IL"/>
        </w:rPr>
      </w:pPr>
      <w:r>
        <w:rPr>
          <w:rFonts w:hint="eastAsia" w:ascii="Arial" w:hAnsi="Arial" w:eastAsia="黑体" w:cs="Arial"/>
          <w:b w:val="0"/>
          <w:bCs/>
          <w:kern w:val="0"/>
          <w:sz w:val="28"/>
          <w:szCs w:val="27"/>
          <w:lang w:val="en-US" w:eastAsia="zh-CN" w:bidi="he-IL"/>
        </w:rPr>
        <w:t>2.5.1 案例背景与教学目标</w:t>
      </w:r>
    </w:p>
    <w:p w14:paraId="7DB81D70">
      <w:pPr>
        <w:keepNext w:val="0"/>
        <w:keepLines w:val="0"/>
        <w:pageBreakBefore w:val="0"/>
        <w:widowControl w:val="0"/>
        <w:kinsoku/>
        <w:wordWrap/>
        <w:overflowPunct/>
        <w:topLinePunct w:val="0"/>
        <w:autoSpaceDE/>
        <w:autoSpaceDN/>
        <w:bidi w:val="0"/>
        <w:adjustRightInd/>
        <w:snapToGrid w:val="0"/>
        <w:spacing w:line="332" w:lineRule="atLeast"/>
        <w:ind w:firstLine="42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在经管类专业教学中，如何将复杂的商业实践事件转化为具有结构性、启发性和思政引导价值的教学案例，一直是教学设计的核心问题。随着生成式人工智能（AIGC）技术的发展，教师可以借助多种AI文生文工具实现教学内容的快速重构与场景生成，从而在有限教学时间内高效构建贴合时代脉搏的课堂资源。本节以“比亚迪价格战”为案例切入点，聚焦企业在复杂竞争环境中的定价策略选择，演示如何利用AIGC工具实现从教案生成、案例撰写到题库构建和教学资料输出的全过程操作。该案例旨在打破传统教学内容更新滞后、教学资源准备耗时的困境，为经管类教师提供可复制、可拓展的教学实操范式。</w:t>
      </w:r>
    </w:p>
    <w:p w14:paraId="3F548AEF">
      <w:pPr>
        <w:pStyle w:val="12"/>
        <w:keepNext w:val="0"/>
        <w:keepLines w:val="0"/>
        <w:widowControl/>
        <w:numPr>
          <w:ilvl w:val="0"/>
          <w:numId w:val="14"/>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案例背景概述：比亚迪引发的新能源汽车价格战</w:t>
      </w:r>
    </w:p>
    <w:p w14:paraId="168A2E94">
      <w:pPr>
        <w:keepNext w:val="0"/>
        <w:keepLines w:val="0"/>
        <w:pageBreakBefore w:val="0"/>
        <w:widowControl w:val="0"/>
        <w:kinsoku/>
        <w:wordWrap/>
        <w:overflowPunct/>
        <w:topLinePunct w:val="0"/>
        <w:autoSpaceDE/>
        <w:autoSpaceDN/>
        <w:bidi w:val="0"/>
        <w:adjustRightInd/>
        <w:snapToGrid w:val="0"/>
        <w:spacing w:line="332" w:lineRule="atLeast"/>
        <w:ind w:firstLine="42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2023年初，随着特斯拉率先宣布全球范围内降价，比亚迪、埃安、小鹏等国内新能源车企迅速跟进，掀起了一场空前激烈的“价格战”。比亚迪作为国内市占率最高的自主品牌，其在多个主力车型上的降价行动，既是对市场竞争压力的应对，也是对产业主导权的再博弈。这场价格战不仅引发了消费者对新能源汽车价值重估，也在资本市场与产业链上下游产生了深远影响。对于企业而言，价格战是一种高风险但高杠杆的市场策略，其成效取决于成本控制能力、品牌定位差异化与用户忠诚度等多重因素。在教学中引入该事件，有助于引导学生深入理解定价策略背后的博弈逻辑、市场响应机制以及企业长远战略布局。</w:t>
      </w:r>
    </w:p>
    <w:p w14:paraId="4A0DD3DE">
      <w:pPr>
        <w:pStyle w:val="12"/>
        <w:keepNext w:val="0"/>
        <w:keepLines w:val="0"/>
        <w:widowControl/>
        <w:numPr>
          <w:ilvl w:val="0"/>
          <w:numId w:val="14"/>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教学目标定位：从知识传授到能力建构的跃迁</w:t>
      </w:r>
    </w:p>
    <w:p w14:paraId="3C4CEE24">
      <w:pPr>
        <w:keepNext w:val="0"/>
        <w:keepLines w:val="0"/>
        <w:pageBreakBefore w:val="0"/>
        <w:widowControl w:val="0"/>
        <w:numPr>
          <w:ilvl w:val="0"/>
          <w:numId w:val="0"/>
        </w:numPr>
        <w:kinsoku/>
        <w:wordWrap/>
        <w:overflowPunct/>
        <w:topLinePunct w:val="0"/>
        <w:autoSpaceDE/>
        <w:autoSpaceDN/>
        <w:bidi w:val="0"/>
        <w:adjustRightInd/>
        <w:snapToGrid w:val="0"/>
        <w:spacing w:line="332" w:lineRule="atLeast"/>
        <w:ind w:firstLine="420" w:firstLineChars="20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为了充分体现以学生为中心的教学理念，本案例设计以“知识掌握—分析应用—价值引导”三维教学目标为核心，具体如下：</w:t>
      </w:r>
    </w:p>
    <w:p w14:paraId="6DD4DC13">
      <w:pPr>
        <w:keepNext w:val="0"/>
        <w:keepLines w:val="0"/>
        <w:pageBreakBefore w:val="0"/>
        <w:widowControl w:val="0"/>
        <w:numPr>
          <w:ilvl w:val="0"/>
          <w:numId w:val="15"/>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认知目标（Know-What）：掌握企业定价策略的基本理论与主要类型，理解成本导向定价、价值导向定价与竞争导向定价之间的区别；</w:t>
      </w:r>
    </w:p>
    <w:p w14:paraId="3FAB5401">
      <w:pPr>
        <w:keepNext w:val="0"/>
        <w:keepLines w:val="0"/>
        <w:pageBreakBefore w:val="0"/>
        <w:widowControl w:val="0"/>
        <w:numPr>
          <w:ilvl w:val="0"/>
          <w:numId w:val="15"/>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技能目标（Know-How）：具备运用定价分析模型（如边际贡献分析、SWOT分析等）解构实际企业定价行为的能力，能够结合案例情境提出合理的策略建议；</w:t>
      </w:r>
    </w:p>
    <w:p w14:paraId="7E6BD170">
      <w:pPr>
        <w:keepNext w:val="0"/>
        <w:keepLines w:val="0"/>
        <w:pageBreakBefore w:val="0"/>
        <w:widowControl w:val="0"/>
        <w:numPr>
          <w:ilvl w:val="0"/>
          <w:numId w:val="15"/>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价值目标（Know-Why）：认识企业价格行为对市场结构、社会公平与消费者权益的多重影响，理解在复杂商业竞争中坚持高质量发展理念与负责任企业精神的重要性。</w:t>
      </w:r>
    </w:p>
    <w:p w14:paraId="68865715">
      <w:pPr>
        <w:keepNext w:val="0"/>
        <w:keepLines w:val="0"/>
        <w:pageBreakBefore w:val="0"/>
        <w:widowControl w:val="0"/>
        <w:numPr>
          <w:ilvl w:val="0"/>
          <w:numId w:val="0"/>
        </w:numPr>
        <w:kinsoku/>
        <w:wordWrap/>
        <w:overflowPunct/>
        <w:topLinePunct w:val="0"/>
        <w:autoSpaceDE/>
        <w:autoSpaceDN/>
        <w:bidi w:val="0"/>
        <w:adjustRightInd/>
        <w:snapToGrid w:val="0"/>
        <w:spacing w:line="332" w:lineRule="atLeast"/>
        <w:ind w:leftChars="20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此外，考虑到当前高校推进</w:t>
      </w:r>
      <w:r>
        <w:rPr>
          <w:rFonts w:hint="eastAsia" w:ascii="Times New Roman Regular" w:hAnsi="Times New Roman Regular" w:cs="Times New Roman Regular"/>
          <w:kern w:val="2"/>
          <w:sz w:val="21"/>
          <w:lang w:val="en-US" w:eastAsia="zh-CN" w:bidi="ar-SA"/>
        </w:rPr>
        <w:t>“大思政课”</w:t>
      </w:r>
      <w:r>
        <w:rPr>
          <w:rFonts w:hint="default" w:ascii="Times New Roman Regular" w:hAnsi="Times New Roman Regular" w:cs="Times New Roman Regular" w:eastAsiaTheme="minorEastAsia"/>
          <w:kern w:val="2"/>
          <w:sz w:val="21"/>
          <w:lang w:val="en-US" w:eastAsia="zh-CN" w:bidi="ar-SA"/>
        </w:rPr>
        <w:t>程体系改革的背景，本案例特别引入思政引导内容，围绕“民族品牌责任”“科技自主创新”“绿色转型发展”等主题设定提问，引导学生在专业学习中强化国家意识、行业使命感与社会责任感。</w:t>
      </w:r>
    </w:p>
    <w:p w14:paraId="6BEBE8EB">
      <w:pPr>
        <w:pStyle w:val="12"/>
        <w:keepNext w:val="0"/>
        <w:keepLines w:val="0"/>
        <w:widowControl/>
        <w:numPr>
          <w:ilvl w:val="0"/>
          <w:numId w:val="14"/>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教学组织建议与实施方式</w:t>
      </w:r>
    </w:p>
    <w:p w14:paraId="704289AF">
      <w:pPr>
        <w:keepNext w:val="0"/>
        <w:keepLines w:val="0"/>
        <w:pageBreakBefore w:val="0"/>
        <w:widowControl w:val="0"/>
        <w:numPr>
          <w:ilvl w:val="0"/>
          <w:numId w:val="0"/>
        </w:numPr>
        <w:kinsoku/>
        <w:wordWrap/>
        <w:overflowPunct/>
        <w:topLinePunct w:val="0"/>
        <w:autoSpaceDE/>
        <w:autoSpaceDN/>
        <w:bidi w:val="0"/>
        <w:adjustRightInd/>
        <w:snapToGrid w:val="0"/>
        <w:spacing w:line="332" w:lineRule="atLeast"/>
        <w:ind w:firstLine="420" w:firstLineChars="20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为保障教学实施的连贯性与实效性，建议教师依据本案例提供的AIGC生成材料，组织开展如下教学活动：</w:t>
      </w:r>
    </w:p>
    <w:p w14:paraId="479094B6">
      <w:pPr>
        <w:keepNext w:val="0"/>
        <w:keepLines w:val="0"/>
        <w:pageBreakBefore w:val="0"/>
        <w:widowControl w:val="0"/>
        <w:numPr>
          <w:ilvl w:val="0"/>
          <w:numId w:val="16"/>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课前准备：教师通过AIGC平台完成教案与材料准备，并将相关阅读资料（如新闻报道、财务简表、行业分析）布置给学生预习；</w:t>
      </w:r>
    </w:p>
    <w:p w14:paraId="0C934858">
      <w:pPr>
        <w:keepNext w:val="0"/>
        <w:keepLines w:val="0"/>
        <w:pageBreakBefore w:val="0"/>
        <w:widowControl w:val="0"/>
        <w:numPr>
          <w:ilvl w:val="0"/>
          <w:numId w:val="16"/>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课堂讲授：结合案例内容进行知识讲解，重点突出定价理论在实际操作中的灵活性与风险控制机制；</w:t>
      </w:r>
    </w:p>
    <w:p w14:paraId="18FDD6F1">
      <w:pPr>
        <w:keepNext w:val="0"/>
        <w:keepLines w:val="0"/>
        <w:pageBreakBefore w:val="0"/>
        <w:widowControl w:val="0"/>
        <w:numPr>
          <w:ilvl w:val="0"/>
          <w:numId w:val="16"/>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小组讨论：学生基于问题导向设计不同定价方案，并使用AI辅助工具（如讯飞星火、豆包、通义千问）协同完成案例分析报告；</w:t>
      </w:r>
    </w:p>
    <w:p w14:paraId="3A3E6515">
      <w:pPr>
        <w:keepNext w:val="0"/>
        <w:keepLines w:val="0"/>
        <w:pageBreakBefore w:val="0"/>
        <w:widowControl w:val="0"/>
        <w:numPr>
          <w:ilvl w:val="0"/>
          <w:numId w:val="16"/>
        </w:numPr>
        <w:kinsoku/>
        <w:wordWrap/>
        <w:overflowPunct/>
        <w:topLinePunct w:val="0"/>
        <w:autoSpaceDE/>
        <w:autoSpaceDN/>
        <w:bidi w:val="0"/>
        <w:adjustRightInd/>
        <w:snapToGrid w:val="0"/>
        <w:spacing w:line="332" w:lineRule="atLeast"/>
        <w:ind w:left="840" w:leftChars="0" w:hanging="420" w:firstLineChars="0"/>
        <w:jc w:val="both"/>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kern w:val="2"/>
          <w:sz w:val="21"/>
          <w:lang w:val="en-US" w:eastAsia="zh-CN" w:bidi="ar-SA"/>
        </w:rPr>
        <w:t>课后延伸：鼓励学生基于本案例拓展其他行业价格战实例，撰写比较分析短文，提升其对“理论—现实—价值”三维视角的整合能力。</w:t>
      </w:r>
    </w:p>
    <w:p w14:paraId="0C553E51">
      <w:pPr>
        <w:pStyle w:val="12"/>
        <w:keepNext w:val="0"/>
        <w:keepLines w:val="0"/>
        <w:widowControl/>
        <w:suppressLineNumbers w:val="0"/>
        <w:ind w:left="0" w:leftChars="0" w:firstLine="280" w:firstLineChars="100"/>
        <w:rPr>
          <w:rFonts w:hint="default" w:ascii="Times New Roman" w:hAnsi="Times New Roman" w:eastAsia="宋体" w:cs="Times New Roman"/>
          <w:kern w:val="2"/>
          <w:sz w:val="21"/>
          <w:lang w:val="en-US" w:eastAsia="zh-CN" w:bidi="ar-SA"/>
        </w:rPr>
      </w:pPr>
      <w:r>
        <w:rPr>
          <w:rFonts w:hint="eastAsia" w:ascii="Arial" w:hAnsi="Arial" w:eastAsia="黑体" w:cs="Arial"/>
          <w:b w:val="0"/>
          <w:bCs/>
          <w:kern w:val="0"/>
          <w:sz w:val="28"/>
          <w:szCs w:val="27"/>
          <w:lang w:val="en-US" w:eastAsia="zh-CN" w:bidi="he-IL"/>
        </w:rPr>
        <w:t>2.5.2 教案骨架生成与教学逻辑规划（讯飞星火）</w:t>
      </w:r>
    </w:p>
    <w:p w14:paraId="367AD330">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exact"/>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在传统教学资源准备过程中，教师通常需要耗费大量时间撰写教学设计方案，制定教学目标，构建知识结构，并安排课堂活动节奏。面对课程改革要求与实际教学压力，“提质增效”成为一线教师的共识需求。本节将以讯飞星火写作平台为核心工具，演示如何借助AIGC技术自动化生成完整教学骨架，辅助教师高效完成教学准备，提升课堂组织的系统性与针对性。</w:t>
      </w:r>
    </w:p>
    <w:p w14:paraId="540F3FB8">
      <w:pPr>
        <w:pStyle w:val="12"/>
        <w:keepNext w:val="0"/>
        <w:keepLines w:val="0"/>
        <w:widowControl/>
        <w:numPr>
          <w:ilvl w:val="0"/>
          <w:numId w:val="17"/>
        </w:numPr>
        <w:suppressLineNumbers w:val="0"/>
        <w:tabs>
          <w:tab w:val="center" w:pos="4830"/>
        </w:tabs>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工具定位与使用方式</w:t>
      </w:r>
    </w:p>
    <w:p w14:paraId="7C31C141">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exact"/>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讯飞星火写作平台是面向中文教育场景定制开发的大语言模型工具，具备较强的语义结构分析与文体适应能力。其“教案生成”模块支持用户通过关键词或教学主题输入，快速构建包括教学目标、教学重难点、课程节奏安排、案例导入等多个维度的完整教案框架。</w:t>
      </w:r>
    </w:p>
    <w:p w14:paraId="5BAC91F0">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黑体" w:hAnsi="黑体" w:eastAsia="黑体" w:cs="黑体"/>
          <w:i/>
          <w:iCs/>
          <w:kern w:val="2"/>
          <w:sz w:val="21"/>
          <w:szCs w:val="24"/>
          <w:lang w:val="en-US" w:eastAsia="zh-CN" w:bidi="ar-SA"/>
        </w:rPr>
      </w:pPr>
      <w:r>
        <w:rPr>
          <w:rFonts w:hint="eastAsia" w:ascii="黑体" w:hAnsi="黑体" w:eastAsia="黑体" w:cs="黑体"/>
          <w:i/>
          <w:iCs/>
          <w:kern w:val="2"/>
          <w:sz w:val="21"/>
          <w:szCs w:val="24"/>
          <w:lang w:val="en-US" w:eastAsia="zh-CN" w:bidi="ar-SA"/>
        </w:rPr>
        <w:t>Prompt：（讯飞星火）请根据“比亚迪价格战”这一教学主题，结合企业定价策略内容，为市场营销课程生成一份教学设计提纲，包含三维教学目标、教学重难点、课程逻辑结构图、案例导入方式与每环节时间安排。</w:t>
      </w:r>
    </w:p>
    <w:p w14:paraId="73C0FB3D">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备注：</w:t>
      </w:r>
      <w:r>
        <w:rPr>
          <w:rFonts w:hint="default" w:ascii="Times New Roman" w:hAnsi="Times New Roman" w:eastAsia="宋体" w:cs="Times New Roman"/>
          <w:kern w:val="2"/>
          <w:sz w:val="21"/>
          <w:szCs w:val="24"/>
          <w:lang w:val="en-US" w:eastAsia="zh-CN" w:bidi="ar-SA"/>
        </w:rPr>
        <w:t>在结构清晰的Prompt驱动下，模型将输出具备教学逻辑与组织节奏的标准化教案草案，教师可根据授课实际情况进行个性化调整与再加工。</w:t>
      </w:r>
    </w:p>
    <w:p w14:paraId="6C76B640">
      <w:pPr>
        <w:pStyle w:val="12"/>
        <w:keepNext w:val="0"/>
        <w:keepLines w:val="0"/>
        <w:widowControl/>
        <w:numPr>
          <w:ilvl w:val="0"/>
          <w:numId w:val="17"/>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生成结果示例与结构分析</w:t>
      </w:r>
    </w:p>
    <w:p w14:paraId="03CA6DEF">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以下为讯飞星火生成的典型教学设计内容结构（经过人工修订与重构后呈现）：</w:t>
      </w:r>
    </w:p>
    <w:p w14:paraId="3B34B3F4">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default" w:ascii="Times New Roman" w:hAnsi="Times New Roman" w:eastAsia="宋体" w:cs="Times New Roman"/>
          <w:kern w:val="2"/>
          <w:sz w:val="21"/>
          <w:szCs w:val="24"/>
          <w:lang w:val="en-US" w:eastAsia="zh-CN" w:bidi="ar-SA"/>
        </w:rPr>
      </w:pPr>
      <w:r>
        <w:rPr>
          <w:rFonts w:hint="eastAsia" w:ascii="Arial" w:hAnsi="Arial" w:eastAsia="黑体" w:cs="Arial"/>
          <w:sz w:val="18"/>
          <w:lang w:val="en-US" w:eastAsia="zh-CN" w:bidi="ar-SA"/>
        </w:rPr>
        <w:t>表2-1  教学设计骨架（简化版）</w:t>
      </w:r>
    </w:p>
    <w:tbl>
      <w:tblPr>
        <w:tblStyle w:val="13"/>
        <w:tblW w:w="8962"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92"/>
        <w:gridCol w:w="7370"/>
      </w:tblGrid>
      <w:tr w14:paraId="24CDE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1547" w:type="dxa"/>
            <w:tcBorders>
              <w:top w:val="single" w:color="000000" w:sz="4" w:space="0"/>
              <w:left w:val="nil"/>
              <w:bottom w:val="single" w:color="auto" w:sz="4" w:space="0"/>
              <w:right w:val="single" w:color="auto" w:sz="4" w:space="0"/>
              <w:tl2br w:val="nil"/>
            </w:tcBorders>
            <w:shd w:val="clear" w:color="auto" w:fill="FFFFFF"/>
            <w:vAlign w:val="center"/>
          </w:tcPr>
          <w:p w14:paraId="5055C32F">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jc w:val="center"/>
              <w:textAlignment w:val="auto"/>
              <w:rPr>
                <w:rFonts w:hint="eastAsia" w:ascii="黑体" w:hAnsi="黑体" w:eastAsia="黑体" w:cs="黑体"/>
                <w:kern w:val="2"/>
                <w:sz w:val="21"/>
                <w:szCs w:val="24"/>
                <w:lang w:val="en-US" w:eastAsia="zh-CN" w:bidi="ar-SA"/>
              </w:rPr>
            </w:pPr>
            <w:r>
              <w:rPr>
                <w:rFonts w:hint="eastAsia" w:ascii="黑体" w:hAnsi="黑体" w:eastAsia="黑体" w:cs="黑体"/>
                <w:kern w:val="2"/>
                <w:sz w:val="21"/>
                <w:szCs w:val="24"/>
                <w:lang w:val="en-US" w:eastAsia="zh-CN" w:bidi="ar-SA"/>
              </w:rPr>
              <w:t>项目</w:t>
            </w:r>
          </w:p>
        </w:tc>
        <w:tc>
          <w:tcPr>
            <w:tcW w:w="7325" w:type="dxa"/>
            <w:tcBorders>
              <w:top w:val="single" w:color="000000" w:sz="4" w:space="0"/>
              <w:left w:val="nil"/>
              <w:bottom w:val="single" w:color="auto" w:sz="4" w:space="0"/>
              <w:right w:val="nil"/>
            </w:tcBorders>
            <w:shd w:val="clear" w:color="auto" w:fill="FFFFFF"/>
            <w:vAlign w:val="center"/>
          </w:tcPr>
          <w:p w14:paraId="2E4A9287">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jc w:val="center"/>
              <w:textAlignment w:val="auto"/>
              <w:rPr>
                <w:rFonts w:hint="eastAsia" w:ascii="黑体" w:hAnsi="黑体" w:eastAsia="黑体" w:cs="黑体"/>
                <w:kern w:val="2"/>
                <w:sz w:val="21"/>
                <w:szCs w:val="24"/>
                <w:lang w:val="en-US" w:eastAsia="zh-CN" w:bidi="ar-SA"/>
              </w:rPr>
            </w:pPr>
            <w:r>
              <w:rPr>
                <w:rFonts w:hint="eastAsia" w:ascii="黑体" w:hAnsi="黑体" w:eastAsia="黑体" w:cs="黑体"/>
                <w:kern w:val="2"/>
                <w:sz w:val="21"/>
                <w:szCs w:val="24"/>
                <w:lang w:val="en-US" w:eastAsia="zh-CN" w:bidi="ar-SA"/>
              </w:rPr>
              <w:t>内容</w:t>
            </w:r>
          </w:p>
        </w:tc>
      </w:tr>
      <w:tr w14:paraId="63BBC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1AEEBE68">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课程名称</w:t>
            </w:r>
          </w:p>
        </w:tc>
        <w:tc>
          <w:tcPr>
            <w:tcW w:w="7325" w:type="dxa"/>
            <w:tcBorders>
              <w:top w:val="nil"/>
              <w:left w:val="nil"/>
              <w:bottom w:val="nil"/>
              <w:right w:val="nil"/>
            </w:tcBorders>
            <w:shd w:val="clear" w:color="auto" w:fill="FFFFFF"/>
            <w:vAlign w:val="center"/>
          </w:tcPr>
          <w:p w14:paraId="1BBFFE91">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textAlignment w:val="auto"/>
              <w:rPr>
                <w:rFonts w:hint="default"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“⽐亚迪价格战”案例分析</w:t>
            </w:r>
          </w:p>
        </w:tc>
      </w:tr>
      <w:tr w14:paraId="454E7B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0C14CAE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教学主题</w:t>
            </w:r>
          </w:p>
        </w:tc>
        <w:tc>
          <w:tcPr>
            <w:tcW w:w="7325" w:type="dxa"/>
            <w:tcBorders>
              <w:top w:val="nil"/>
              <w:left w:val="nil"/>
              <w:bottom w:val="nil"/>
              <w:right w:val="nil"/>
            </w:tcBorders>
            <w:shd w:val="clear" w:color="auto" w:fill="FFFFFF"/>
            <w:vAlign w:val="center"/>
          </w:tcPr>
          <w:p w14:paraId="226515DB">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比亚迪价格战：企业定价策略的博弈与应对</w:t>
            </w:r>
          </w:p>
        </w:tc>
      </w:tr>
      <w:tr w14:paraId="4AA5AF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6EB94E69">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教学对象</w:t>
            </w:r>
          </w:p>
        </w:tc>
        <w:tc>
          <w:tcPr>
            <w:tcW w:w="7325" w:type="dxa"/>
            <w:tcBorders>
              <w:top w:val="nil"/>
              <w:left w:val="nil"/>
              <w:bottom w:val="nil"/>
              <w:right w:val="nil"/>
            </w:tcBorders>
            <w:shd w:val="clear" w:color="auto" w:fill="FFFFFF"/>
            <w:vAlign w:val="center"/>
          </w:tcPr>
          <w:p w14:paraId="05CDB49B">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大三本科·经管专业学生</w:t>
            </w:r>
          </w:p>
        </w:tc>
      </w:tr>
      <w:tr w14:paraId="588B3C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7E9EE82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课时安排</w:t>
            </w:r>
          </w:p>
        </w:tc>
        <w:tc>
          <w:tcPr>
            <w:tcW w:w="7325" w:type="dxa"/>
            <w:tcBorders>
              <w:top w:val="nil"/>
              <w:left w:val="nil"/>
              <w:bottom w:val="nil"/>
              <w:right w:val="nil"/>
            </w:tcBorders>
            <w:shd w:val="clear" w:color="auto" w:fill="FFFFFF"/>
            <w:vAlign w:val="center"/>
          </w:tcPr>
          <w:p w14:paraId="1FAF213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2课时（90分钟）</w:t>
            </w:r>
          </w:p>
        </w:tc>
      </w:tr>
      <w:tr w14:paraId="48D41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7A84EDEC">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教学目标</w:t>
            </w:r>
          </w:p>
        </w:tc>
        <w:tc>
          <w:tcPr>
            <w:tcW w:w="7325" w:type="dxa"/>
            <w:tcBorders>
              <w:top w:val="nil"/>
              <w:left w:val="nil"/>
              <w:bottom w:val="nil"/>
              <w:right w:val="nil"/>
            </w:tcBorders>
            <w:shd w:val="clear" w:color="auto" w:fill="FFFFFF"/>
            <w:vAlign w:val="center"/>
          </w:tcPr>
          <w:p w14:paraId="212561D0">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认知目标：掌握企业定价策略主要类型及适用情境－ 技能目标：能分析具体企业在价格战中的策略选择逻辑－ 价值目标：理解企业价格行为对社会、市场和消费者的影响</w:t>
            </w:r>
          </w:p>
        </w:tc>
      </w:tr>
      <w:tr w14:paraId="4D9D9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748C55B3">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教学重难点</w:t>
            </w:r>
          </w:p>
        </w:tc>
        <w:tc>
          <w:tcPr>
            <w:tcW w:w="7325" w:type="dxa"/>
            <w:tcBorders>
              <w:top w:val="nil"/>
              <w:left w:val="nil"/>
              <w:bottom w:val="nil"/>
              <w:right w:val="nil"/>
            </w:tcBorders>
            <w:shd w:val="clear" w:color="auto" w:fill="FFFFFF"/>
            <w:vAlign w:val="center"/>
          </w:tcPr>
          <w:p w14:paraId="6BAFF01A">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重点：竞争导向定价的实施逻辑与风险评估- 难点：在品牌溢价基础上制定合理降价策略</w:t>
            </w:r>
          </w:p>
        </w:tc>
      </w:tr>
      <w:tr w14:paraId="103EB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149F565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教学方法</w:t>
            </w:r>
          </w:p>
        </w:tc>
        <w:tc>
          <w:tcPr>
            <w:tcW w:w="7325" w:type="dxa"/>
            <w:tcBorders>
              <w:top w:val="nil"/>
              <w:left w:val="nil"/>
              <w:bottom w:val="nil"/>
              <w:right w:val="nil"/>
            </w:tcBorders>
            <w:shd w:val="clear" w:color="auto" w:fill="FFFFFF"/>
            <w:vAlign w:val="center"/>
          </w:tcPr>
          <w:p w14:paraId="3DC64A4A">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案例教学法、小组讨论法、AIGC辅助学习法</w:t>
            </w:r>
          </w:p>
        </w:tc>
      </w:tr>
      <w:tr w14:paraId="080E9E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nil"/>
              <w:right w:val="single" w:color="auto" w:sz="4" w:space="0"/>
            </w:tcBorders>
            <w:shd w:val="clear" w:color="auto" w:fill="FFFFFF"/>
            <w:vAlign w:val="center"/>
          </w:tcPr>
          <w:p w14:paraId="537CFB77">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教学资源</w:t>
            </w:r>
          </w:p>
        </w:tc>
        <w:tc>
          <w:tcPr>
            <w:tcW w:w="7325" w:type="dxa"/>
            <w:tcBorders>
              <w:top w:val="nil"/>
              <w:left w:val="nil"/>
              <w:bottom w:val="nil"/>
              <w:right w:val="nil"/>
            </w:tcBorders>
            <w:shd w:val="clear" w:color="auto" w:fill="FFFFFF"/>
            <w:vAlign w:val="center"/>
          </w:tcPr>
          <w:p w14:paraId="7C88085C">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案例文本、比亚迪竞争对手数据、图表模板、讯飞星火平台</w:t>
            </w:r>
          </w:p>
        </w:tc>
      </w:tr>
      <w:tr w14:paraId="0B1B3B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547" w:type="dxa"/>
            <w:tcBorders>
              <w:top w:val="nil"/>
              <w:left w:val="nil"/>
              <w:bottom w:val="single" w:color="000000" w:sz="4" w:space="0"/>
              <w:right w:val="single" w:color="auto" w:sz="4" w:space="0"/>
            </w:tcBorders>
            <w:shd w:val="clear" w:color="auto" w:fill="FFFFFF"/>
            <w:vAlign w:val="center"/>
          </w:tcPr>
          <w:p w14:paraId="5E3D0C8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教学工具</w:t>
            </w:r>
          </w:p>
        </w:tc>
        <w:tc>
          <w:tcPr>
            <w:tcW w:w="7325" w:type="dxa"/>
            <w:tcBorders>
              <w:top w:val="nil"/>
              <w:left w:val="nil"/>
              <w:bottom w:val="single" w:color="000000" w:sz="4" w:space="0"/>
              <w:right w:val="nil"/>
            </w:tcBorders>
            <w:shd w:val="clear" w:color="auto" w:fill="FFFFFF"/>
            <w:vAlign w:val="center"/>
          </w:tcPr>
          <w:p w14:paraId="1164EF5A">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多媒体设备、PPT、AIGC平台（教师+学生端）</w:t>
            </w:r>
          </w:p>
        </w:tc>
      </w:tr>
    </w:tbl>
    <w:p w14:paraId="56819A03">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textAlignment w:val="auto"/>
        <w:rPr>
          <w:rFonts w:hint="eastAsia" w:ascii="Times New Roman" w:hAnsi="Times New Roman" w:eastAsia="宋体" w:cs="Times New Roman"/>
          <w:kern w:val="2"/>
          <w:sz w:val="21"/>
          <w:szCs w:val="24"/>
          <w:lang w:val="en-US" w:eastAsia="zh-CN" w:bidi="ar-SA"/>
        </w:rPr>
      </w:pPr>
    </w:p>
    <w:p w14:paraId="18FBADD0">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eastAsia" w:ascii="Arial" w:hAnsi="Arial" w:eastAsia="黑体" w:cs="Arial"/>
          <w:sz w:val="18"/>
          <w:lang w:val="en-US" w:eastAsia="zh-CN" w:bidi="ar-SA"/>
        </w:rPr>
      </w:pPr>
      <w:r>
        <w:rPr>
          <w:rFonts w:hint="eastAsia" w:ascii="Arial" w:hAnsi="Arial" w:eastAsia="黑体" w:cs="Arial"/>
          <w:sz w:val="18"/>
          <w:lang w:val="en-US" w:eastAsia="zh-CN" w:bidi="ar-SA"/>
        </w:rPr>
        <w:t>表2-1  教学组织流程图（讯飞星火生成草图后绘制）（markdown）</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44"/>
      </w:tblGrid>
      <w:tr w14:paraId="0CF58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44" w:type="dxa"/>
            <w:tcBorders>
              <w:top w:val="single" w:color="000000" w:sz="4" w:space="0"/>
              <w:left w:val="nil"/>
              <w:right w:val="nil"/>
              <w:tl2br w:val="nil"/>
            </w:tcBorders>
            <w:shd w:val="clear" w:color="auto" w:fill="FFFFFF"/>
            <w:vAlign w:val="top"/>
          </w:tcPr>
          <w:p w14:paraId="62D5EA0A">
            <w:pPr>
              <w:jc w:val="center"/>
              <w:rPr>
                <w:rFonts w:hint="eastAsia"/>
                <w:lang w:val="en-US" w:eastAsia="zh-CN"/>
              </w:rPr>
            </w:pPr>
            <w:r>
              <w:rPr>
                <w:rFonts w:hint="eastAsia"/>
                <w:lang w:val="en-US" w:eastAsia="zh-CN"/>
              </w:rPr>
              <w:t>课前任务（预习新闻资料 + 比亚迪市场数据）</w:t>
            </w:r>
          </w:p>
          <w:p w14:paraId="37EC83E0">
            <w:pPr>
              <w:jc w:val="center"/>
              <w:rPr>
                <w:rFonts w:hint="eastAsia"/>
                <w:lang w:val="en-US" w:eastAsia="zh-CN"/>
              </w:rPr>
            </w:pPr>
            <w:r>
              <w:rPr>
                <w:rFonts w:hint="eastAsia"/>
                <w:lang w:val="en-US" w:eastAsia="zh-CN"/>
              </w:rPr>
              <w:t>↓</w:t>
            </w:r>
          </w:p>
          <w:p w14:paraId="53DCC17F">
            <w:pPr>
              <w:jc w:val="center"/>
              <w:rPr>
                <w:rFonts w:hint="eastAsia"/>
                <w:lang w:val="en-US" w:eastAsia="zh-CN"/>
              </w:rPr>
            </w:pPr>
            <w:r>
              <w:rPr>
                <w:rFonts w:hint="eastAsia"/>
                <w:lang w:val="en-US" w:eastAsia="zh-CN"/>
              </w:rPr>
              <w:t>教学导入（5分钟）——引发兴趣：价格战引爆新闻</w:t>
            </w:r>
          </w:p>
          <w:p w14:paraId="131B9DDD">
            <w:pPr>
              <w:jc w:val="center"/>
              <w:rPr>
                <w:rFonts w:hint="eastAsia"/>
                <w:lang w:val="en-US" w:eastAsia="zh-CN"/>
              </w:rPr>
            </w:pPr>
            <w:r>
              <w:rPr>
                <w:rFonts w:hint="eastAsia"/>
                <w:lang w:val="en-US" w:eastAsia="zh-CN"/>
              </w:rPr>
              <w:t>↓</w:t>
            </w:r>
          </w:p>
          <w:p w14:paraId="6BB9C438">
            <w:pPr>
              <w:jc w:val="center"/>
              <w:rPr>
                <w:rFonts w:hint="eastAsia"/>
                <w:lang w:val="en-US" w:eastAsia="zh-CN"/>
              </w:rPr>
            </w:pPr>
            <w:r>
              <w:rPr>
                <w:rFonts w:hint="eastAsia"/>
                <w:lang w:val="en-US" w:eastAsia="zh-CN"/>
              </w:rPr>
              <w:t>案例讲授（20分钟）——比亚迪定价逻辑+竞争反应</w:t>
            </w:r>
          </w:p>
          <w:p w14:paraId="2C44035E">
            <w:pPr>
              <w:jc w:val="center"/>
              <w:rPr>
                <w:rFonts w:hint="eastAsia"/>
                <w:lang w:val="en-US" w:eastAsia="zh-CN"/>
              </w:rPr>
            </w:pPr>
            <w:r>
              <w:rPr>
                <w:rFonts w:hint="eastAsia"/>
                <w:lang w:val="en-US" w:eastAsia="zh-CN"/>
              </w:rPr>
              <w:t>↓</w:t>
            </w:r>
          </w:p>
          <w:p w14:paraId="20FD292C">
            <w:pPr>
              <w:jc w:val="center"/>
              <w:rPr>
                <w:rFonts w:hint="eastAsia"/>
                <w:lang w:val="en-US" w:eastAsia="zh-CN"/>
              </w:rPr>
            </w:pPr>
            <w:r>
              <w:rPr>
                <w:rFonts w:hint="eastAsia"/>
                <w:lang w:val="en-US" w:eastAsia="zh-CN"/>
              </w:rPr>
              <w:t>策略分析（30分钟）——学生分组：模拟制定定价方案</w:t>
            </w:r>
          </w:p>
          <w:p w14:paraId="784CD37A">
            <w:pPr>
              <w:jc w:val="center"/>
              <w:rPr>
                <w:rFonts w:hint="eastAsia"/>
                <w:lang w:val="en-US" w:eastAsia="zh-CN"/>
              </w:rPr>
            </w:pPr>
            <w:r>
              <w:rPr>
                <w:rFonts w:hint="eastAsia"/>
                <w:lang w:val="en-US" w:eastAsia="zh-CN"/>
              </w:rPr>
              <w:t>↓</w:t>
            </w:r>
          </w:p>
          <w:p w14:paraId="17B259DB">
            <w:pPr>
              <w:jc w:val="center"/>
              <w:rPr>
                <w:rFonts w:hint="eastAsia"/>
                <w:lang w:val="en-US" w:eastAsia="zh-CN"/>
              </w:rPr>
            </w:pPr>
            <w:r>
              <w:rPr>
                <w:rFonts w:hint="eastAsia"/>
                <w:lang w:val="en-US" w:eastAsia="zh-CN"/>
              </w:rPr>
              <w:t>思政引导（10分钟）——探讨民族品牌的责任与使命</w:t>
            </w:r>
          </w:p>
          <w:p w14:paraId="04026F3A">
            <w:pPr>
              <w:jc w:val="center"/>
              <w:rPr>
                <w:rFonts w:hint="eastAsia"/>
                <w:lang w:val="en-US" w:eastAsia="zh-CN"/>
              </w:rPr>
            </w:pPr>
            <w:r>
              <w:rPr>
                <w:rFonts w:hint="eastAsia"/>
                <w:lang w:val="en-US" w:eastAsia="zh-CN"/>
              </w:rPr>
              <w:t>↓</w:t>
            </w:r>
          </w:p>
          <w:p w14:paraId="0AEC8A20">
            <w:pPr>
              <w:jc w:val="center"/>
              <w:rPr>
                <w:rFonts w:hint="eastAsia"/>
                <w:lang w:val="en-US" w:eastAsia="zh-CN"/>
              </w:rPr>
            </w:pPr>
            <w:r>
              <w:rPr>
                <w:rFonts w:hint="eastAsia"/>
                <w:lang w:val="en-US" w:eastAsia="zh-CN"/>
              </w:rPr>
              <w:t>课堂总结（10分钟）——教师点评+AIGC生成对比反思</w:t>
            </w:r>
          </w:p>
          <w:p w14:paraId="28D07F31">
            <w:pPr>
              <w:jc w:val="center"/>
              <w:rPr>
                <w:rFonts w:hint="eastAsia"/>
                <w:lang w:val="en-US" w:eastAsia="zh-CN"/>
              </w:rPr>
            </w:pPr>
            <w:r>
              <w:rPr>
                <w:rFonts w:hint="eastAsia"/>
                <w:lang w:val="en-US" w:eastAsia="zh-CN"/>
              </w:rPr>
              <w:t>↓</w:t>
            </w:r>
          </w:p>
          <w:p w14:paraId="1208C00F">
            <w:pPr>
              <w:jc w:val="center"/>
              <w:rPr>
                <w:rFonts w:hint="default" w:ascii="Arial" w:hAnsi="Arial" w:eastAsia="黑体" w:cs="Arial"/>
                <w:b w:val="0"/>
                <w:color w:val="000000"/>
                <w:sz w:val="18"/>
                <w:vertAlign w:val="baseline"/>
                <w:lang w:val="en-US" w:eastAsia="zh-CN" w:bidi="ar-SA"/>
              </w:rPr>
            </w:pPr>
            <w:r>
              <w:rPr>
                <w:rFonts w:hint="eastAsia"/>
                <w:lang w:val="en-US" w:eastAsia="zh-CN"/>
              </w:rPr>
              <w:t>课后拓展（15分钟）——利用讯飞星火完成案例续写任务</w:t>
            </w:r>
          </w:p>
        </w:tc>
      </w:tr>
    </w:tbl>
    <w:p w14:paraId="57231D5F">
      <w:pPr>
        <w:pStyle w:val="12"/>
        <w:keepNext w:val="0"/>
        <w:keepLines w:val="0"/>
        <w:widowControl/>
        <w:numPr>
          <w:ilvl w:val="0"/>
          <w:numId w:val="17"/>
        </w:numPr>
        <w:suppressLineNumbers w:val="0"/>
        <w:tabs>
          <w:tab w:val="center" w:pos="4830"/>
        </w:tabs>
        <w:rPr>
          <w:rFonts w:hint="default" w:ascii="宋体" w:hAnsi="宋体" w:eastAsia="宋体" w:cs="宋体"/>
          <w:kern w:val="0"/>
          <w:sz w:val="21"/>
          <w:szCs w:val="21"/>
          <w:lang w:val="en-US" w:eastAsia="zh-CN" w:bidi="ar"/>
        </w:rPr>
      </w:pPr>
      <w:r>
        <w:rPr>
          <w:rFonts w:hint="default" w:ascii="宋体" w:hAnsi="宋体" w:eastAsia="宋体" w:cs="宋体"/>
          <w:kern w:val="0"/>
          <w:sz w:val="21"/>
          <w:szCs w:val="21"/>
          <w:lang w:val="en-US" w:eastAsia="zh-CN" w:bidi="ar"/>
        </w:rPr>
        <w:t>案例导入设计与课程节奏安排</w:t>
      </w:r>
    </w:p>
    <w:p w14:paraId="5013FCE2">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为提升课堂参与感与学生代入度，讯飞星火提供了多种案例导入方式的建议，包括新闻播报、数据展示、现场投票等。以下为模型生成并优化后的导入示例：</w:t>
      </w:r>
    </w:p>
    <w:p w14:paraId="3587F4FE">
      <w:pPr>
        <w:pStyle w:val="12"/>
        <w:keepNext w:val="0"/>
        <w:keepLines w:val="0"/>
        <w:widowControl/>
        <w:suppressLineNumbers w:val="0"/>
        <w:ind w:right="720"/>
        <w:rPr>
          <w:rFonts w:hint="eastAsia" w:ascii="黑体" w:hAnsi="黑体" w:eastAsia="黑体" w:cs="黑体"/>
          <w:i/>
          <w:iCs/>
          <w:caps w:val="0"/>
          <w:spacing w:val="0"/>
          <w:kern w:val="0"/>
          <w:sz w:val="20"/>
          <w:szCs w:val="20"/>
          <w:shd w:val="clear" w:fill="FFFFFF"/>
          <w:lang w:val="en-US" w:eastAsia="zh-CN" w:bidi="ar"/>
        </w:rPr>
      </w:pPr>
      <w:r>
        <w:rPr>
          <w:rFonts w:hint="eastAsia" w:ascii="黑体" w:hAnsi="黑体" w:eastAsia="黑体" w:cs="黑体"/>
          <w:i w:val="0"/>
          <w:iCs w:val="0"/>
          <w:caps w:val="0"/>
          <w:spacing w:val="0"/>
          <w:kern w:val="0"/>
          <w:sz w:val="20"/>
          <w:szCs w:val="20"/>
          <w:shd w:val="clear" w:fill="FFFFFF"/>
          <w:lang w:val="en-US" w:eastAsia="zh-CN" w:bidi="ar"/>
        </w:rPr>
        <w:t>教学导入片段（AIGC输出原文）：</w:t>
      </w:r>
      <w:r>
        <w:rPr>
          <w:rFonts w:hint="eastAsia" w:ascii="黑体" w:hAnsi="黑体" w:eastAsia="黑体" w:cs="黑体"/>
          <w:i/>
          <w:iCs/>
          <w:caps w:val="0"/>
          <w:spacing w:val="0"/>
          <w:kern w:val="0"/>
          <w:sz w:val="20"/>
          <w:szCs w:val="20"/>
          <w:shd w:val="clear" w:fill="FFFFFF"/>
          <w:lang w:val="en-US" w:eastAsia="zh-CN" w:bidi="ar"/>
        </w:rPr>
        <w:t>“2023年1月，比亚迪宣布其多款主力车型价格下调，引发行业连锁反应。你是否愿意购买一辆‘打折’的新能源汽车？你如何看待企业在面对竞争压力时的降价决策？这节课，我们就以‘比亚迪价格战’为例，一起探究定价背后的商业博弈逻辑。”</w:t>
      </w:r>
    </w:p>
    <w:p w14:paraId="68F73F54">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为确保内容可操作性，建议教师依据实际教学时间将90分钟课堂分为6个教学环节，并结合每环节预期产出设定节奏如下：</w:t>
      </w:r>
    </w:p>
    <w:p w14:paraId="3325E462">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eastAsia" w:ascii="Arial" w:hAnsi="Arial" w:eastAsia="黑体" w:cs="Arial"/>
          <w:sz w:val="18"/>
          <w:lang w:val="en-US" w:eastAsia="zh-CN" w:bidi="ar-SA"/>
        </w:rPr>
      </w:pPr>
      <w:r>
        <w:rPr>
          <w:rFonts w:hint="eastAsia" w:ascii="Arial" w:hAnsi="Arial" w:eastAsia="黑体" w:cs="Arial"/>
          <w:sz w:val="18"/>
          <w:lang w:val="en-US" w:eastAsia="zh-CN" w:bidi="ar-SA"/>
        </w:rPr>
        <w:t>表2-3  课堂节奏安排</w:t>
      </w:r>
    </w:p>
    <w:tbl>
      <w:tblPr>
        <w:tblStyle w:val="13"/>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25"/>
        <w:gridCol w:w="1210"/>
        <w:gridCol w:w="2470"/>
        <w:gridCol w:w="2655"/>
      </w:tblGrid>
      <w:tr w14:paraId="13356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tcBorders>
              <w:top w:val="single" w:color="000000" w:sz="4" w:space="0"/>
              <w:bottom w:val="single" w:color="auto" w:sz="4" w:space="0"/>
              <w:right w:val="single" w:color="auto" w:sz="4" w:space="0"/>
              <w:tl2br w:val="nil"/>
            </w:tcBorders>
            <w:shd w:val="clear" w:color="auto" w:fill="FFFFFF"/>
            <w:vAlign w:val="center"/>
          </w:tcPr>
          <w:p w14:paraId="439E75E1">
            <w:pPr>
              <w:keepNext w:val="0"/>
              <w:keepLines w:val="0"/>
              <w:widowControl/>
              <w:suppressLineNumbers w:val="0"/>
              <w:jc w:val="center"/>
              <w:rPr>
                <w:rFonts w:hint="eastAsia" w:ascii="黑体" w:hAnsi="黑体" w:eastAsia="黑体" w:cs="黑体"/>
                <w:b w:val="0"/>
                <w:bCs/>
                <w:color w:val="000000"/>
                <w:sz w:val="18"/>
                <w:szCs w:val="18"/>
              </w:rPr>
            </w:pPr>
            <w:r>
              <w:rPr>
                <w:rFonts w:hint="eastAsia" w:ascii="黑体" w:hAnsi="黑体" w:eastAsia="黑体" w:cs="黑体"/>
                <w:b w:val="0"/>
                <w:bCs/>
                <w:color w:val="000000"/>
                <w:kern w:val="0"/>
                <w:sz w:val="18"/>
                <w:szCs w:val="18"/>
                <w:lang w:val="en-US" w:eastAsia="zh-CN" w:bidi="ar"/>
              </w:rPr>
              <w:t>教学环节</w:t>
            </w:r>
          </w:p>
        </w:tc>
        <w:tc>
          <w:tcPr>
            <w:tcW w:w="0" w:type="auto"/>
            <w:tcBorders>
              <w:top w:val="single" w:color="000000" w:sz="4" w:space="0"/>
              <w:bottom w:val="single" w:color="auto" w:sz="4" w:space="0"/>
              <w:right w:val="single" w:color="auto" w:sz="4" w:space="0"/>
            </w:tcBorders>
            <w:shd w:val="clear" w:color="auto" w:fill="FFFFFF"/>
            <w:vAlign w:val="center"/>
          </w:tcPr>
          <w:p w14:paraId="1F08010F">
            <w:pPr>
              <w:keepNext w:val="0"/>
              <w:keepLines w:val="0"/>
              <w:widowControl/>
              <w:suppressLineNumbers w:val="0"/>
              <w:jc w:val="center"/>
              <w:rPr>
                <w:rFonts w:hint="eastAsia" w:ascii="黑体" w:hAnsi="黑体" w:eastAsia="黑体" w:cs="黑体"/>
                <w:b w:val="0"/>
                <w:bCs/>
                <w:color w:val="000000"/>
                <w:sz w:val="18"/>
                <w:szCs w:val="18"/>
              </w:rPr>
            </w:pPr>
            <w:r>
              <w:rPr>
                <w:rFonts w:hint="eastAsia" w:ascii="黑体" w:hAnsi="黑体" w:eastAsia="黑体" w:cs="黑体"/>
                <w:b w:val="0"/>
                <w:bCs/>
                <w:color w:val="000000"/>
                <w:kern w:val="0"/>
                <w:sz w:val="18"/>
                <w:szCs w:val="18"/>
                <w:lang w:val="en-US" w:eastAsia="zh-CN" w:bidi="ar"/>
              </w:rPr>
              <w:t>时间分配</w:t>
            </w:r>
          </w:p>
        </w:tc>
        <w:tc>
          <w:tcPr>
            <w:tcW w:w="0" w:type="auto"/>
            <w:tcBorders>
              <w:top w:val="single" w:color="000000" w:sz="4" w:space="0"/>
              <w:bottom w:val="single" w:color="auto" w:sz="4" w:space="0"/>
              <w:right w:val="single" w:color="auto" w:sz="4" w:space="0"/>
            </w:tcBorders>
            <w:shd w:val="clear" w:color="auto" w:fill="FFFFFF"/>
            <w:vAlign w:val="center"/>
          </w:tcPr>
          <w:p w14:paraId="13802B82">
            <w:pPr>
              <w:keepNext w:val="0"/>
              <w:keepLines w:val="0"/>
              <w:widowControl/>
              <w:suppressLineNumbers w:val="0"/>
              <w:jc w:val="center"/>
              <w:rPr>
                <w:rFonts w:hint="eastAsia" w:ascii="黑体" w:hAnsi="黑体" w:eastAsia="黑体" w:cs="黑体"/>
                <w:b w:val="0"/>
                <w:bCs/>
                <w:color w:val="000000"/>
                <w:sz w:val="18"/>
                <w:szCs w:val="18"/>
              </w:rPr>
            </w:pPr>
            <w:r>
              <w:rPr>
                <w:rFonts w:hint="eastAsia" w:ascii="黑体" w:hAnsi="黑体" w:eastAsia="黑体" w:cs="黑体"/>
                <w:b w:val="0"/>
                <w:bCs/>
                <w:color w:val="000000"/>
                <w:kern w:val="0"/>
                <w:sz w:val="18"/>
                <w:szCs w:val="18"/>
                <w:lang w:val="en-US" w:eastAsia="zh-CN" w:bidi="ar"/>
              </w:rPr>
              <w:t>环节产出</w:t>
            </w:r>
          </w:p>
        </w:tc>
        <w:tc>
          <w:tcPr>
            <w:tcW w:w="0" w:type="auto"/>
            <w:tcBorders>
              <w:top w:val="single" w:color="000000" w:sz="4" w:space="0"/>
              <w:bottom w:val="single" w:color="auto" w:sz="4" w:space="0"/>
            </w:tcBorders>
            <w:shd w:val="clear" w:color="auto" w:fill="FFFFFF"/>
            <w:vAlign w:val="center"/>
          </w:tcPr>
          <w:p w14:paraId="72008B2F">
            <w:pPr>
              <w:keepNext w:val="0"/>
              <w:keepLines w:val="0"/>
              <w:widowControl/>
              <w:suppressLineNumbers w:val="0"/>
              <w:jc w:val="center"/>
              <w:rPr>
                <w:rFonts w:hint="eastAsia" w:ascii="黑体" w:hAnsi="黑体" w:eastAsia="黑体" w:cs="黑体"/>
                <w:b w:val="0"/>
                <w:bCs/>
                <w:color w:val="000000"/>
                <w:sz w:val="18"/>
                <w:szCs w:val="18"/>
              </w:rPr>
            </w:pPr>
            <w:r>
              <w:rPr>
                <w:rFonts w:hint="eastAsia" w:ascii="黑体" w:hAnsi="黑体" w:eastAsia="黑体" w:cs="黑体"/>
                <w:b w:val="0"/>
                <w:bCs/>
                <w:color w:val="000000"/>
                <w:kern w:val="0"/>
                <w:sz w:val="18"/>
                <w:szCs w:val="18"/>
                <w:lang w:val="en-US" w:eastAsia="zh-CN" w:bidi="ar"/>
              </w:rPr>
              <w:t>AIGC辅助任务</w:t>
            </w:r>
          </w:p>
        </w:tc>
      </w:tr>
      <w:tr w14:paraId="7B0C7A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right w:val="single" w:color="auto" w:sz="4" w:space="0"/>
            </w:tcBorders>
            <w:shd w:val="clear" w:color="auto" w:fill="FFFFFF"/>
            <w:vAlign w:val="center"/>
          </w:tcPr>
          <w:p w14:paraId="5EEC415A">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案例导入</w:t>
            </w:r>
          </w:p>
        </w:tc>
        <w:tc>
          <w:tcPr>
            <w:tcW w:w="0" w:type="auto"/>
            <w:tcBorders>
              <w:right w:val="single" w:color="auto" w:sz="4" w:space="0"/>
            </w:tcBorders>
            <w:shd w:val="clear" w:color="auto" w:fill="FFFFFF"/>
            <w:vAlign w:val="center"/>
          </w:tcPr>
          <w:p w14:paraId="548D4E1B">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5分钟</w:t>
            </w:r>
          </w:p>
        </w:tc>
        <w:tc>
          <w:tcPr>
            <w:tcW w:w="0" w:type="auto"/>
            <w:tcBorders>
              <w:right w:val="single" w:color="auto" w:sz="4" w:space="0"/>
            </w:tcBorders>
            <w:shd w:val="clear" w:color="auto" w:fill="FFFFFF"/>
            <w:vAlign w:val="center"/>
          </w:tcPr>
          <w:p w14:paraId="0E58FE55">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激发兴趣、建立问题情境</w:t>
            </w:r>
          </w:p>
        </w:tc>
        <w:tc>
          <w:tcPr>
            <w:tcW w:w="0" w:type="auto"/>
            <w:shd w:val="clear" w:color="auto" w:fill="FFFFFF"/>
            <w:vAlign w:val="center"/>
          </w:tcPr>
          <w:p w14:paraId="562B04D0">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生成新闻简报或市场快报</w:t>
            </w:r>
          </w:p>
        </w:tc>
      </w:tr>
      <w:tr w14:paraId="49CF0D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right w:val="single" w:color="auto" w:sz="4" w:space="0"/>
            </w:tcBorders>
            <w:shd w:val="clear" w:color="auto" w:fill="FFFFFF"/>
            <w:vAlign w:val="center"/>
          </w:tcPr>
          <w:p w14:paraId="5E518A8C">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知识讲授</w:t>
            </w:r>
          </w:p>
        </w:tc>
        <w:tc>
          <w:tcPr>
            <w:tcW w:w="0" w:type="auto"/>
            <w:tcBorders>
              <w:right w:val="single" w:color="auto" w:sz="4" w:space="0"/>
            </w:tcBorders>
            <w:shd w:val="clear" w:color="auto" w:fill="FFFFFF"/>
            <w:vAlign w:val="center"/>
          </w:tcPr>
          <w:p w14:paraId="0C8F9BBA">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20分钟</w:t>
            </w:r>
          </w:p>
        </w:tc>
        <w:tc>
          <w:tcPr>
            <w:tcW w:w="0" w:type="auto"/>
            <w:tcBorders>
              <w:right w:val="single" w:color="auto" w:sz="4" w:space="0"/>
            </w:tcBorders>
            <w:shd w:val="clear" w:color="auto" w:fill="FFFFFF"/>
            <w:vAlign w:val="center"/>
          </w:tcPr>
          <w:p w14:paraId="6E851ED3">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明确理论框架</w:t>
            </w:r>
          </w:p>
        </w:tc>
        <w:tc>
          <w:tcPr>
            <w:tcW w:w="0" w:type="auto"/>
            <w:shd w:val="clear" w:color="auto" w:fill="FFFFFF"/>
            <w:vAlign w:val="center"/>
          </w:tcPr>
          <w:p w14:paraId="099C4726">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生成PPT段落、术语解释</w:t>
            </w:r>
          </w:p>
        </w:tc>
      </w:tr>
      <w:tr w14:paraId="588B4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right w:val="single" w:color="auto" w:sz="4" w:space="0"/>
            </w:tcBorders>
            <w:shd w:val="clear" w:color="auto" w:fill="FFFFFF"/>
            <w:vAlign w:val="center"/>
          </w:tcPr>
          <w:p w14:paraId="79A6BCB0">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案例分析</w:t>
            </w:r>
          </w:p>
        </w:tc>
        <w:tc>
          <w:tcPr>
            <w:tcW w:w="0" w:type="auto"/>
            <w:tcBorders>
              <w:right w:val="single" w:color="auto" w:sz="4" w:space="0"/>
            </w:tcBorders>
            <w:shd w:val="clear" w:color="auto" w:fill="FFFFFF"/>
            <w:vAlign w:val="center"/>
          </w:tcPr>
          <w:p w14:paraId="1B14EDE7">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30分钟</w:t>
            </w:r>
          </w:p>
        </w:tc>
        <w:tc>
          <w:tcPr>
            <w:tcW w:w="0" w:type="auto"/>
            <w:tcBorders>
              <w:right w:val="single" w:color="auto" w:sz="4" w:space="0"/>
            </w:tcBorders>
            <w:shd w:val="clear" w:color="auto" w:fill="FFFFFF"/>
            <w:vAlign w:val="center"/>
          </w:tcPr>
          <w:p w14:paraId="7F3C0DA3">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策略识别与方案设计</w:t>
            </w:r>
          </w:p>
        </w:tc>
        <w:tc>
          <w:tcPr>
            <w:tcW w:w="0" w:type="auto"/>
            <w:shd w:val="clear" w:color="auto" w:fill="FFFFFF"/>
            <w:vAlign w:val="center"/>
          </w:tcPr>
          <w:p w14:paraId="1A24CF2D">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自动生成对照模型</w:t>
            </w:r>
          </w:p>
        </w:tc>
      </w:tr>
      <w:tr w14:paraId="654F77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right w:val="single" w:color="auto" w:sz="4" w:space="0"/>
            </w:tcBorders>
            <w:shd w:val="clear" w:color="auto" w:fill="FFFFFF"/>
            <w:vAlign w:val="center"/>
          </w:tcPr>
          <w:p w14:paraId="4FFE6266">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思政融合</w:t>
            </w:r>
          </w:p>
        </w:tc>
        <w:tc>
          <w:tcPr>
            <w:tcW w:w="0" w:type="auto"/>
            <w:tcBorders>
              <w:right w:val="single" w:color="auto" w:sz="4" w:space="0"/>
            </w:tcBorders>
            <w:shd w:val="clear" w:color="auto" w:fill="FFFFFF"/>
            <w:vAlign w:val="center"/>
          </w:tcPr>
          <w:p w14:paraId="676938C0">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10分钟</w:t>
            </w:r>
          </w:p>
        </w:tc>
        <w:tc>
          <w:tcPr>
            <w:tcW w:w="0" w:type="auto"/>
            <w:tcBorders>
              <w:right w:val="single" w:color="auto" w:sz="4" w:space="0"/>
            </w:tcBorders>
            <w:shd w:val="clear" w:color="auto" w:fill="FFFFFF"/>
            <w:vAlign w:val="center"/>
          </w:tcPr>
          <w:p w14:paraId="1249C3AF">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引导价值思考</w:t>
            </w:r>
          </w:p>
        </w:tc>
        <w:tc>
          <w:tcPr>
            <w:tcW w:w="0" w:type="auto"/>
            <w:shd w:val="clear" w:color="auto" w:fill="FFFFFF"/>
            <w:vAlign w:val="center"/>
          </w:tcPr>
          <w:p w14:paraId="572B826C">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输出引导式问题与参考解析</w:t>
            </w:r>
          </w:p>
        </w:tc>
      </w:tr>
      <w:tr w14:paraId="39C93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right w:val="single" w:color="auto" w:sz="4" w:space="0"/>
            </w:tcBorders>
            <w:shd w:val="clear" w:color="auto" w:fill="FFFFFF"/>
            <w:vAlign w:val="center"/>
          </w:tcPr>
          <w:p w14:paraId="69315302">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教师总结</w:t>
            </w:r>
          </w:p>
        </w:tc>
        <w:tc>
          <w:tcPr>
            <w:tcW w:w="0" w:type="auto"/>
            <w:tcBorders>
              <w:right w:val="single" w:color="auto" w:sz="4" w:space="0"/>
            </w:tcBorders>
            <w:shd w:val="clear" w:color="auto" w:fill="FFFFFF"/>
            <w:vAlign w:val="center"/>
          </w:tcPr>
          <w:p w14:paraId="71ACAB77">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10分钟</w:t>
            </w:r>
          </w:p>
        </w:tc>
        <w:tc>
          <w:tcPr>
            <w:tcW w:w="0" w:type="auto"/>
            <w:tcBorders>
              <w:right w:val="single" w:color="auto" w:sz="4" w:space="0"/>
            </w:tcBorders>
            <w:shd w:val="clear" w:color="auto" w:fill="FFFFFF"/>
            <w:vAlign w:val="center"/>
          </w:tcPr>
          <w:p w14:paraId="7FE56177">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归纳课程知识点</w:t>
            </w:r>
          </w:p>
        </w:tc>
        <w:tc>
          <w:tcPr>
            <w:tcW w:w="0" w:type="auto"/>
            <w:shd w:val="clear" w:color="auto" w:fill="FFFFFF"/>
            <w:vAlign w:val="center"/>
          </w:tcPr>
          <w:p w14:paraId="2454CD38">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输出课堂总结段落</w:t>
            </w:r>
          </w:p>
        </w:tc>
      </w:tr>
      <w:tr w14:paraId="336A8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bottom w:val="single" w:color="000000" w:sz="4" w:space="0"/>
              <w:right w:val="single" w:color="auto" w:sz="4" w:space="0"/>
            </w:tcBorders>
            <w:shd w:val="clear" w:color="auto" w:fill="FFFFFF"/>
            <w:vAlign w:val="center"/>
          </w:tcPr>
          <w:p w14:paraId="44CA9EF7">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拓展任务</w:t>
            </w:r>
          </w:p>
        </w:tc>
        <w:tc>
          <w:tcPr>
            <w:tcW w:w="0" w:type="auto"/>
            <w:tcBorders>
              <w:bottom w:val="single" w:color="000000" w:sz="4" w:space="0"/>
              <w:right w:val="single" w:color="auto" w:sz="4" w:space="0"/>
            </w:tcBorders>
            <w:shd w:val="clear" w:color="auto" w:fill="FFFFFF"/>
            <w:vAlign w:val="center"/>
          </w:tcPr>
          <w:p w14:paraId="3962E7BE">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15分钟</w:t>
            </w:r>
          </w:p>
        </w:tc>
        <w:tc>
          <w:tcPr>
            <w:tcW w:w="0" w:type="auto"/>
            <w:tcBorders>
              <w:bottom w:val="single" w:color="000000" w:sz="4" w:space="0"/>
              <w:right w:val="single" w:color="auto" w:sz="4" w:space="0"/>
            </w:tcBorders>
            <w:shd w:val="clear" w:color="auto" w:fill="FFFFFF"/>
            <w:vAlign w:val="center"/>
          </w:tcPr>
          <w:p w14:paraId="0CFB00BA">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课后延伸阅读与分析</w:t>
            </w:r>
          </w:p>
        </w:tc>
        <w:tc>
          <w:tcPr>
            <w:tcW w:w="0" w:type="auto"/>
            <w:tcBorders>
              <w:bottom w:val="single" w:color="000000" w:sz="4" w:space="0"/>
            </w:tcBorders>
            <w:shd w:val="clear" w:color="auto" w:fill="FFFFFF"/>
            <w:vAlign w:val="center"/>
          </w:tcPr>
          <w:p w14:paraId="50A0DB9C">
            <w:pPr>
              <w:keepNext w:val="0"/>
              <w:keepLines w:val="0"/>
              <w:widowControl/>
              <w:suppressLineNumbers w:val="0"/>
              <w:jc w:val="left"/>
              <w:rPr>
                <w:b w:val="0"/>
                <w:color w:val="000000"/>
                <w:sz w:val="18"/>
                <w:szCs w:val="18"/>
              </w:rPr>
            </w:pPr>
            <w:r>
              <w:rPr>
                <w:rFonts w:ascii="宋体" w:hAnsi="宋体" w:eastAsia="宋体" w:cs="宋体"/>
                <w:b w:val="0"/>
                <w:color w:val="000000"/>
                <w:kern w:val="0"/>
                <w:sz w:val="18"/>
                <w:szCs w:val="18"/>
                <w:lang w:val="en-US" w:eastAsia="zh-CN" w:bidi="ar"/>
              </w:rPr>
              <w:t>生成延伸案例与阅读清单</w:t>
            </w:r>
          </w:p>
        </w:tc>
      </w:tr>
    </w:tbl>
    <w:p w14:paraId="4AEFAC86">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结合本节内容，讯飞星火可自动生成如下教学材料，供教师打印或投放至教学平台使用：</w:t>
      </w:r>
    </w:p>
    <w:p w14:paraId="4E3810BD">
      <w:pPr>
        <w:rPr>
          <w:rFonts w:hint="eastAsia"/>
          <w:lang w:val="en-US" w:eastAsia="zh-CN"/>
        </w:rPr>
      </w:pPr>
      <w:r>
        <w:rPr>
          <w:rFonts w:hint="eastAsia"/>
          <w:lang w:val="en-US" w:eastAsia="zh-CN"/>
        </w:rPr>
        <w:t>示例一：教案 Word 文档（节选）</w:t>
      </w:r>
    </w:p>
    <w:p w14:paraId="6DB304FE">
      <w:pPr>
        <w:numPr>
          <w:ilvl w:val="0"/>
          <w:numId w:val="18"/>
        </w:numPr>
        <w:ind w:left="840" w:leftChars="0" w:hanging="420" w:firstLineChars="0"/>
        <w:rPr>
          <w:rFonts w:hint="eastAsia"/>
          <w:lang w:val="en-US" w:eastAsia="zh-CN"/>
        </w:rPr>
      </w:pPr>
      <w:r>
        <w:rPr>
          <w:rFonts w:hint="eastAsia"/>
          <w:lang w:val="en-US" w:eastAsia="zh-CN"/>
        </w:rPr>
        <w:t>教学目标（三级结构）</w:t>
      </w:r>
    </w:p>
    <w:p w14:paraId="26A23189">
      <w:pPr>
        <w:numPr>
          <w:ilvl w:val="0"/>
          <w:numId w:val="18"/>
        </w:numPr>
        <w:ind w:left="840" w:leftChars="0" w:hanging="420" w:firstLineChars="0"/>
        <w:rPr>
          <w:rFonts w:hint="eastAsia"/>
          <w:lang w:val="en-US" w:eastAsia="zh-CN"/>
        </w:rPr>
      </w:pPr>
      <w:r>
        <w:rPr>
          <w:rFonts w:hint="eastAsia"/>
          <w:lang w:val="en-US" w:eastAsia="zh-CN"/>
        </w:rPr>
        <w:t>教学重点难点说明</w:t>
      </w:r>
    </w:p>
    <w:p w14:paraId="019094B2">
      <w:pPr>
        <w:numPr>
          <w:ilvl w:val="0"/>
          <w:numId w:val="18"/>
        </w:numPr>
        <w:ind w:left="840" w:leftChars="0" w:hanging="420" w:firstLineChars="0"/>
        <w:rPr>
          <w:rFonts w:hint="eastAsia"/>
          <w:lang w:val="en-US" w:eastAsia="zh-CN"/>
        </w:rPr>
      </w:pPr>
      <w:r>
        <w:rPr>
          <w:rFonts w:hint="eastAsia"/>
          <w:lang w:val="en-US" w:eastAsia="zh-CN"/>
        </w:rPr>
        <w:t>案例导入素材与课堂提问建议</w:t>
      </w:r>
    </w:p>
    <w:p w14:paraId="2464684E">
      <w:pPr>
        <w:numPr>
          <w:ilvl w:val="0"/>
          <w:numId w:val="18"/>
        </w:numPr>
        <w:ind w:left="840" w:leftChars="0" w:hanging="420" w:firstLineChars="0"/>
        <w:rPr>
          <w:rFonts w:hint="eastAsia"/>
          <w:lang w:val="en-US" w:eastAsia="zh-CN"/>
        </w:rPr>
      </w:pPr>
      <w:r>
        <w:rPr>
          <w:rFonts w:hint="eastAsia"/>
          <w:lang w:val="en-US" w:eastAsia="zh-CN"/>
        </w:rPr>
        <w:t>课程流程图</w:t>
      </w:r>
    </w:p>
    <w:p w14:paraId="1962C96F">
      <w:pPr>
        <w:numPr>
          <w:ilvl w:val="0"/>
          <w:numId w:val="18"/>
        </w:numPr>
        <w:ind w:left="840" w:leftChars="0" w:hanging="420" w:firstLineChars="0"/>
        <w:rPr>
          <w:rFonts w:hint="eastAsia"/>
          <w:lang w:val="en-US" w:eastAsia="zh-CN"/>
        </w:rPr>
      </w:pPr>
      <w:r>
        <w:rPr>
          <w:rFonts w:hint="eastAsia"/>
          <w:lang w:val="en-US" w:eastAsia="zh-CN"/>
        </w:rPr>
        <w:t>思政引导问题及参考答案</w:t>
      </w:r>
    </w:p>
    <w:p w14:paraId="0F08BB4E">
      <w:pPr>
        <w:rPr>
          <w:rFonts w:hint="eastAsia"/>
          <w:lang w:val="en-US" w:eastAsia="zh-CN"/>
        </w:rPr>
      </w:pPr>
    </w:p>
    <w:p w14:paraId="362B9667">
      <w:pPr>
        <w:rPr>
          <w:rFonts w:hint="eastAsia"/>
          <w:lang w:val="en-US" w:eastAsia="zh-CN"/>
        </w:rPr>
      </w:pPr>
      <w:r>
        <w:rPr>
          <w:rFonts w:hint="eastAsia"/>
          <w:lang w:val="en-US" w:eastAsia="zh-CN"/>
        </w:rPr>
        <w:t>示例二：教学PPT片段（自动排版）</w:t>
      </w:r>
    </w:p>
    <w:p w14:paraId="7BAF84A2">
      <w:pPr>
        <w:numPr>
          <w:ilvl w:val="0"/>
          <w:numId w:val="18"/>
        </w:numPr>
        <w:ind w:left="840" w:leftChars="0" w:hanging="420" w:firstLineChars="0"/>
        <w:rPr>
          <w:rFonts w:hint="eastAsia"/>
          <w:lang w:val="en-US" w:eastAsia="zh-CN"/>
        </w:rPr>
      </w:pPr>
      <w:r>
        <w:rPr>
          <w:rFonts w:hint="eastAsia"/>
          <w:lang w:val="en-US" w:eastAsia="zh-CN"/>
        </w:rPr>
        <w:t>封面页：《比亚迪价格战与定价策略》</w:t>
      </w:r>
    </w:p>
    <w:p w14:paraId="57CD06E7">
      <w:pPr>
        <w:numPr>
          <w:ilvl w:val="0"/>
          <w:numId w:val="18"/>
        </w:numPr>
        <w:ind w:left="840" w:leftChars="0" w:hanging="420" w:firstLineChars="0"/>
        <w:rPr>
          <w:rFonts w:hint="eastAsia"/>
          <w:lang w:val="en-US" w:eastAsia="zh-CN"/>
        </w:rPr>
      </w:pPr>
      <w:r>
        <w:rPr>
          <w:rFonts w:hint="eastAsia"/>
          <w:lang w:val="en-US" w:eastAsia="zh-CN"/>
        </w:rPr>
        <w:t>第1页：定价策略分类图解（成本导向 vs 竞争导向 vs 价值导向）</w:t>
      </w:r>
    </w:p>
    <w:p w14:paraId="68367DB6">
      <w:pPr>
        <w:numPr>
          <w:ilvl w:val="0"/>
          <w:numId w:val="18"/>
        </w:numPr>
        <w:ind w:left="840" w:leftChars="0" w:hanging="420" w:firstLineChars="0"/>
        <w:rPr>
          <w:rFonts w:hint="eastAsia"/>
          <w:lang w:val="en-US" w:eastAsia="zh-CN"/>
        </w:rPr>
      </w:pPr>
      <w:r>
        <w:rPr>
          <w:rFonts w:hint="eastAsia"/>
          <w:lang w:val="en-US" w:eastAsia="zh-CN"/>
        </w:rPr>
        <w:t>第2页：比亚迪降价前后市场表现图（模型生成图表）</w:t>
      </w:r>
    </w:p>
    <w:p w14:paraId="182D8AB0">
      <w:pPr>
        <w:numPr>
          <w:ilvl w:val="0"/>
          <w:numId w:val="18"/>
        </w:numPr>
        <w:ind w:left="840" w:leftChars="0" w:hanging="420" w:firstLineChars="0"/>
        <w:rPr>
          <w:rFonts w:hint="eastAsia"/>
          <w:lang w:val="en-US" w:eastAsia="zh-CN"/>
        </w:rPr>
      </w:pPr>
      <w:r>
        <w:rPr>
          <w:rFonts w:hint="eastAsia"/>
          <w:lang w:val="en-US" w:eastAsia="zh-CN"/>
        </w:rPr>
        <w:t>第3页：课堂讨论问题列表（AIGC生成）</w:t>
      </w:r>
    </w:p>
    <w:p w14:paraId="6DB08434">
      <w:pPr>
        <w:numPr>
          <w:ilvl w:val="0"/>
          <w:numId w:val="18"/>
        </w:numPr>
        <w:ind w:left="840" w:leftChars="0" w:hanging="420" w:firstLineChars="0"/>
        <w:rPr>
          <w:rFonts w:hint="eastAsia"/>
          <w:lang w:val="en-US" w:eastAsia="zh-CN"/>
        </w:rPr>
      </w:pPr>
      <w:r>
        <w:rPr>
          <w:rFonts w:hint="eastAsia"/>
          <w:lang w:val="en-US" w:eastAsia="zh-CN"/>
        </w:rPr>
        <w:t>第4页：总结与延伸（下节课预告）</w:t>
      </w:r>
    </w:p>
    <w:p w14:paraId="31DB79FB">
      <w:pPr>
        <w:rPr>
          <w:rFonts w:hint="eastAsia"/>
          <w:lang w:val="en-US" w:eastAsia="zh-CN"/>
        </w:rPr>
      </w:pPr>
    </w:p>
    <w:p w14:paraId="0CA4C5E6">
      <w:pPr>
        <w:rPr>
          <w:rFonts w:hint="eastAsia"/>
          <w:lang w:val="en-US" w:eastAsia="zh-CN"/>
        </w:rPr>
      </w:pPr>
      <w:r>
        <w:rPr>
          <w:rFonts w:hint="eastAsia"/>
          <w:lang w:val="en-US" w:eastAsia="zh-CN"/>
        </w:rPr>
        <w:t>示例三：课堂任务卡片（可打印分发）</w:t>
      </w:r>
    </w:p>
    <w:p w14:paraId="15EB979F">
      <w:pPr>
        <w:numPr>
          <w:ilvl w:val="0"/>
          <w:numId w:val="18"/>
        </w:numPr>
        <w:ind w:left="840" w:leftChars="0" w:hanging="420" w:firstLineChars="0"/>
        <w:rPr>
          <w:rFonts w:hint="eastAsia"/>
          <w:lang w:val="en-US" w:eastAsia="zh-CN"/>
        </w:rPr>
      </w:pPr>
      <w:r>
        <w:rPr>
          <w:rFonts w:hint="eastAsia"/>
          <w:lang w:val="en-US" w:eastAsia="zh-CN"/>
        </w:rPr>
        <w:t>简要案例背景</w:t>
      </w:r>
    </w:p>
    <w:p w14:paraId="559361AF">
      <w:pPr>
        <w:numPr>
          <w:ilvl w:val="0"/>
          <w:numId w:val="18"/>
        </w:numPr>
        <w:ind w:left="840" w:leftChars="0" w:hanging="420" w:firstLineChars="0"/>
        <w:rPr>
          <w:rFonts w:hint="eastAsia"/>
          <w:lang w:val="en-US" w:eastAsia="zh-CN"/>
        </w:rPr>
      </w:pPr>
      <w:r>
        <w:rPr>
          <w:rFonts w:hint="eastAsia"/>
          <w:lang w:val="en-US" w:eastAsia="zh-CN"/>
        </w:rPr>
        <w:t>分组任务说明</w:t>
      </w:r>
    </w:p>
    <w:p w14:paraId="0FE95102">
      <w:pPr>
        <w:numPr>
          <w:ilvl w:val="0"/>
          <w:numId w:val="18"/>
        </w:numPr>
        <w:ind w:left="840" w:leftChars="0" w:hanging="420" w:firstLineChars="0"/>
        <w:rPr>
          <w:rFonts w:hint="eastAsia"/>
          <w:lang w:val="en-US" w:eastAsia="zh-CN"/>
        </w:rPr>
      </w:pPr>
      <w:r>
        <w:rPr>
          <w:rFonts w:hint="eastAsia"/>
          <w:lang w:val="en-US" w:eastAsia="zh-CN"/>
        </w:rPr>
        <w:t>学生使用提示词与AI操作指引</w:t>
      </w:r>
    </w:p>
    <w:p w14:paraId="231C7813">
      <w:pPr>
        <w:numPr>
          <w:ilvl w:val="0"/>
          <w:numId w:val="18"/>
        </w:numPr>
        <w:ind w:left="840" w:leftChars="0" w:hanging="420" w:firstLineChars="0"/>
        <w:rPr>
          <w:rFonts w:hint="eastAsia"/>
          <w:lang w:val="en-US" w:eastAsia="zh-CN"/>
        </w:rPr>
      </w:pPr>
      <w:r>
        <w:rPr>
          <w:rFonts w:hint="eastAsia"/>
          <w:lang w:val="en-US" w:eastAsia="zh-CN"/>
        </w:rPr>
        <w:t>AIGC产出质量自评表</w:t>
      </w:r>
    </w:p>
    <w:p w14:paraId="6CB3883B">
      <w:pPr>
        <w:pStyle w:val="12"/>
        <w:keepNext w:val="0"/>
        <w:keepLines w:val="0"/>
        <w:widowControl/>
        <w:suppressLineNumbers w:val="0"/>
        <w:ind w:left="0" w:leftChars="0" w:firstLine="280" w:firstLineChars="100"/>
        <w:rPr>
          <w:rFonts w:hint="eastAsia" w:ascii="Times New Roman" w:hAnsi="Times New Roman" w:eastAsia="宋体" w:cs="Times New Roman"/>
          <w:kern w:val="2"/>
          <w:sz w:val="21"/>
          <w:lang w:val="en-US" w:eastAsia="zh-CN" w:bidi="ar-SA"/>
        </w:rPr>
      </w:pPr>
      <w:r>
        <w:rPr>
          <w:rFonts w:hint="eastAsia" w:ascii="Arial" w:hAnsi="Arial" w:eastAsia="黑体" w:cs="Arial"/>
          <w:b w:val="0"/>
          <w:bCs/>
          <w:kern w:val="0"/>
          <w:sz w:val="28"/>
          <w:szCs w:val="27"/>
          <w:lang w:val="en-US" w:eastAsia="zh-CN" w:bidi="he-IL"/>
        </w:rPr>
        <w:t>2.5.3 案例撰写与思政导向问题设计（智谱清言 + 豆包）</w:t>
      </w:r>
    </w:p>
    <w:p w14:paraId="1A4B2175">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案例是经管课程教学中实现“理论—实践—价值”三维整合的重要载体。一份高质量的教学案例应同时具备三个基本特征：</w:t>
      </w:r>
      <w:r>
        <w:rPr>
          <w:rFonts w:hint="eastAsia" w:ascii="黑体" w:hAnsi="黑体" w:eastAsia="黑体" w:cs="黑体"/>
          <w:kern w:val="0"/>
          <w:sz w:val="21"/>
          <w:szCs w:val="21"/>
          <w:lang w:val="en-US" w:eastAsia="zh-CN" w:bidi="ar"/>
        </w:rPr>
        <w:t>事实基础的真实性、商业逻辑的启发性与价值导向的育人性</w:t>
      </w:r>
      <w:r>
        <w:rPr>
          <w:rFonts w:ascii="宋体" w:hAnsi="宋体" w:eastAsia="宋体" w:cs="宋体"/>
          <w:kern w:val="0"/>
          <w:sz w:val="21"/>
          <w:szCs w:val="21"/>
          <w:lang w:val="en-US" w:eastAsia="zh-CN" w:bidi="ar"/>
        </w:rPr>
        <w:t>。本节将结合“比亚迪价格战”事件，演示如何借助智谱清言与豆包两大中文AIGC平台，快速生成教学案例正文与思政导向型问题清单，帮助教师构建具有知识深度与德育价值的课堂内容。</w:t>
      </w:r>
    </w:p>
    <w:p w14:paraId="428E4D24">
      <w:pPr>
        <w:pStyle w:val="12"/>
        <w:keepNext w:val="0"/>
        <w:keepLines w:val="0"/>
        <w:widowControl/>
        <w:numPr>
          <w:ilvl w:val="0"/>
          <w:numId w:val="19"/>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平台功能对比与协同应用策略</w:t>
      </w:r>
      <w:r>
        <w:rPr>
          <w:rFonts w:hint="eastAsia" w:ascii="宋体" w:hAnsi="宋体" w:eastAsia="宋体" w:cs="宋体"/>
          <w:kern w:val="0"/>
          <w:sz w:val="21"/>
          <w:szCs w:val="21"/>
          <w:lang w:val="en-US" w:eastAsia="zh-CN" w:bidi="ar"/>
        </w:rPr>
        <w:tab/>
      </w:r>
    </w:p>
    <w:p w14:paraId="4276A78D">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eastAsia" w:ascii="宋体" w:hAnsi="宋体" w:eastAsia="宋体" w:cs="宋体"/>
          <w:kern w:val="0"/>
          <w:sz w:val="21"/>
          <w:szCs w:val="21"/>
          <w:lang w:val="en-US" w:eastAsia="zh-CN" w:bidi="ar"/>
        </w:rPr>
      </w:pPr>
      <w:r>
        <w:rPr>
          <w:rFonts w:hint="eastAsia" w:ascii="Arial" w:hAnsi="Arial" w:eastAsia="黑体" w:cs="Arial"/>
          <w:sz w:val="18"/>
          <w:lang w:val="en-US" w:eastAsia="zh-CN" w:bidi="ar-SA"/>
        </w:rPr>
        <w:t>表2-4  平台功能对比</w:t>
      </w:r>
    </w:p>
    <w:tbl>
      <w:tblPr>
        <w:tblStyle w:val="13"/>
        <w:tblW w:w="8335"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1"/>
        <w:gridCol w:w="3402"/>
        <w:gridCol w:w="3402"/>
      </w:tblGrid>
      <w:tr w14:paraId="76EFB6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1486" w:type="dxa"/>
            <w:tcBorders>
              <w:top w:val="single" w:color="000000" w:sz="4" w:space="0"/>
              <w:bottom w:val="single" w:color="auto" w:sz="4" w:space="0"/>
              <w:right w:val="single" w:color="auto" w:sz="4" w:space="0"/>
              <w:tl2br w:val="nil"/>
            </w:tcBorders>
            <w:shd w:val="clear" w:color="auto" w:fill="FFFFFF"/>
            <w:vAlign w:val="center"/>
          </w:tcPr>
          <w:p w14:paraId="35350C1E">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工具</w:t>
            </w:r>
          </w:p>
        </w:tc>
        <w:tc>
          <w:tcPr>
            <w:tcW w:w="3372" w:type="dxa"/>
            <w:tcBorders>
              <w:top w:val="single" w:color="000000" w:sz="4" w:space="0"/>
              <w:bottom w:val="single" w:color="auto" w:sz="4" w:space="0"/>
            </w:tcBorders>
            <w:shd w:val="clear" w:color="auto" w:fill="FFFFFF"/>
            <w:vAlign w:val="center"/>
          </w:tcPr>
          <w:p w14:paraId="11B802AC">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智谱清言（教师版）</w:t>
            </w:r>
          </w:p>
        </w:tc>
        <w:tc>
          <w:tcPr>
            <w:tcW w:w="3357" w:type="dxa"/>
            <w:tcBorders>
              <w:top w:val="single" w:color="000000" w:sz="4" w:space="0"/>
              <w:bottom w:val="single" w:color="auto" w:sz="4" w:space="0"/>
            </w:tcBorders>
            <w:shd w:val="clear" w:color="auto" w:fill="FFFFFF"/>
            <w:vAlign w:val="center"/>
          </w:tcPr>
          <w:p w14:paraId="2F7E6982">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豆包</w:t>
            </w:r>
          </w:p>
        </w:tc>
      </w:tr>
      <w:tr w14:paraId="24F2B4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486" w:type="dxa"/>
            <w:tcBorders>
              <w:right w:val="single" w:color="auto" w:sz="4" w:space="0"/>
            </w:tcBorders>
            <w:shd w:val="clear" w:color="auto" w:fill="FFFFFF"/>
            <w:vAlign w:val="center"/>
          </w:tcPr>
          <w:p w14:paraId="23F37CAB">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定位</w:t>
            </w:r>
          </w:p>
        </w:tc>
        <w:tc>
          <w:tcPr>
            <w:tcW w:w="3372" w:type="dxa"/>
            <w:shd w:val="clear" w:color="auto" w:fill="FFFFFF"/>
            <w:vAlign w:val="center"/>
          </w:tcPr>
          <w:p w14:paraId="5C36770E">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教学写作生成型AI，适合案例重构与主题扩展</w:t>
            </w:r>
          </w:p>
        </w:tc>
        <w:tc>
          <w:tcPr>
            <w:tcW w:w="3357" w:type="dxa"/>
            <w:shd w:val="clear" w:color="auto" w:fill="FFFFFF"/>
            <w:vAlign w:val="center"/>
          </w:tcPr>
          <w:p w14:paraId="6A1137C2">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结构化文稿生成平台，适合形成问题导向型内容</w:t>
            </w:r>
          </w:p>
        </w:tc>
      </w:tr>
      <w:tr w14:paraId="6FC4C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486" w:type="dxa"/>
            <w:tcBorders>
              <w:right w:val="single" w:color="auto" w:sz="4" w:space="0"/>
            </w:tcBorders>
            <w:shd w:val="clear" w:color="auto" w:fill="FFFFFF"/>
            <w:vAlign w:val="center"/>
          </w:tcPr>
          <w:p w14:paraId="7083F289">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核心优势</w:t>
            </w:r>
          </w:p>
        </w:tc>
        <w:tc>
          <w:tcPr>
            <w:tcW w:w="3372" w:type="dxa"/>
            <w:shd w:val="clear" w:color="auto" w:fill="FFFFFF"/>
            <w:vAlign w:val="center"/>
          </w:tcPr>
          <w:p w14:paraId="1C7E6486">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提纲清晰、逻辑严谨、可生成教学语言风格文段</w:t>
            </w:r>
          </w:p>
        </w:tc>
        <w:tc>
          <w:tcPr>
            <w:tcW w:w="3357" w:type="dxa"/>
            <w:shd w:val="clear" w:color="auto" w:fill="FFFFFF"/>
            <w:vAlign w:val="center"/>
          </w:tcPr>
          <w:p w14:paraId="1158384A">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公文格式标准、句式规范、适合会议材料与申报写作</w:t>
            </w:r>
          </w:p>
        </w:tc>
      </w:tr>
      <w:tr w14:paraId="726EA5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486" w:type="dxa"/>
            <w:tcBorders>
              <w:bottom w:val="single" w:color="000000" w:sz="4" w:space="0"/>
              <w:right w:val="single" w:color="auto" w:sz="4" w:space="0"/>
            </w:tcBorders>
            <w:shd w:val="clear" w:color="auto" w:fill="FFFFFF"/>
            <w:vAlign w:val="center"/>
          </w:tcPr>
          <w:p w14:paraId="6B322AAE">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推荐任务</w:t>
            </w:r>
          </w:p>
        </w:tc>
        <w:tc>
          <w:tcPr>
            <w:tcW w:w="3372" w:type="dxa"/>
            <w:tcBorders>
              <w:bottom w:val="single" w:color="000000" w:sz="4" w:space="0"/>
            </w:tcBorders>
            <w:shd w:val="clear" w:color="auto" w:fill="FFFFFF"/>
            <w:vAlign w:val="center"/>
          </w:tcPr>
          <w:p w14:paraId="5E0976EB">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案例情境描述、商业逻辑建构、问题引导设定</w:t>
            </w:r>
          </w:p>
        </w:tc>
        <w:tc>
          <w:tcPr>
            <w:tcW w:w="3357" w:type="dxa"/>
            <w:tcBorders>
              <w:bottom w:val="single" w:color="000000" w:sz="4" w:space="0"/>
            </w:tcBorders>
            <w:shd w:val="clear" w:color="auto" w:fill="FFFFFF"/>
            <w:vAlign w:val="center"/>
          </w:tcPr>
          <w:p w14:paraId="366B546C">
            <w:pPr>
              <w:keepNext w:val="0"/>
              <w:keepLines w:val="0"/>
              <w:widowControl/>
              <w:suppressLineNumbers w:val="0"/>
              <w:jc w:val="center"/>
              <w:rPr>
                <w:b w:val="0"/>
                <w:color w:val="000000"/>
                <w:sz w:val="21"/>
                <w:szCs w:val="21"/>
              </w:rPr>
            </w:pPr>
            <w:r>
              <w:rPr>
                <w:rFonts w:ascii="宋体" w:hAnsi="宋体" w:eastAsia="宋体" w:cs="宋体"/>
                <w:b w:val="0"/>
                <w:color w:val="000000"/>
                <w:kern w:val="0"/>
                <w:sz w:val="21"/>
                <w:szCs w:val="21"/>
                <w:lang w:val="en-US" w:eastAsia="zh-CN" w:bidi="ar"/>
              </w:rPr>
              <w:t>思政引导问答、课堂讨论题、教学提示语生成</w:t>
            </w:r>
          </w:p>
        </w:tc>
      </w:tr>
    </w:tbl>
    <w:p w14:paraId="1985C2CC">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本节中，推荐教师采用</w:t>
      </w:r>
      <w:r>
        <w:rPr>
          <w:rFonts w:ascii="宋体" w:hAnsi="宋体" w:eastAsia="宋体" w:cs="宋体"/>
          <w:i/>
          <w:iCs/>
          <w:kern w:val="0"/>
          <w:sz w:val="21"/>
          <w:szCs w:val="21"/>
          <w:lang w:val="en-US" w:eastAsia="zh-CN" w:bidi="ar"/>
        </w:rPr>
        <w:t>“智谱清言撰写主体 + 豆包生成提问”</w:t>
      </w:r>
      <w:r>
        <w:rPr>
          <w:rFonts w:ascii="宋体" w:hAnsi="宋体" w:eastAsia="宋体" w:cs="宋体"/>
          <w:kern w:val="0"/>
          <w:sz w:val="21"/>
          <w:szCs w:val="21"/>
          <w:lang w:val="en-US" w:eastAsia="zh-CN" w:bidi="ar"/>
        </w:rPr>
        <w:t>的组合模式，前者承担知识与情境描述任务，后者负责价值引导问题设计与输出。</w:t>
      </w:r>
    </w:p>
    <w:p w14:paraId="6422C952">
      <w:pPr>
        <w:pStyle w:val="12"/>
        <w:keepNext w:val="0"/>
        <w:keepLines w:val="0"/>
        <w:widowControl/>
        <w:numPr>
          <w:ilvl w:val="0"/>
          <w:numId w:val="19"/>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案例正文撰写：企业情境重构（智谱清言）</w:t>
      </w:r>
    </w:p>
    <w:p w14:paraId="66E951DF">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通过输入关键词，如“比亚迪”“中国新能源汽车”“价格战”“成本导向定价”，智谱清言可快速生成一段具有背景介绍、冲突设定与决策焦点的教学案例正文。以下为生成内容（经修订后保留）：</w:t>
      </w:r>
    </w:p>
    <w:p w14:paraId="23BAFB26">
      <w:pPr>
        <w:keepNext w:val="0"/>
        <w:keepLines w:val="0"/>
        <w:widowControl/>
        <w:suppressLineNumbers w:val="0"/>
        <w:jc w:val="left"/>
      </w:pPr>
      <w:r>
        <w:rPr>
          <w:rFonts w:ascii="宋体" w:hAnsi="宋体" w:eastAsia="宋体" w:cs="宋体"/>
          <w:kern w:val="0"/>
          <w:sz w:val="24"/>
          <w:szCs w:val="24"/>
          <w:lang w:val="en-US" w:eastAsia="zh-CN" w:bidi="ar"/>
        </w:rPr>
        <w:t>【案例正文样例：比亚迪价格战】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1"/>
      </w:tblGrid>
      <w:tr w14:paraId="0319B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61" w:type="dxa"/>
            <w:tcBorders>
              <w:top w:val="single" w:color="000000" w:sz="4" w:space="0"/>
              <w:left w:val="nil"/>
              <w:right w:val="nil"/>
              <w:tl2br w:val="nil"/>
            </w:tcBorders>
            <w:shd w:val="clear" w:color="auto" w:fill="FFFFFF"/>
            <w:vAlign w:val="top"/>
          </w:tcPr>
          <w:p w14:paraId="052AC813">
            <w:pPr>
              <w:jc w:val="both"/>
              <w:rPr>
                <w:rFonts w:hint="eastAsia" w:ascii="黑体" w:hAnsi="黑体" w:eastAsia="黑体" w:cs="黑体"/>
                <w:lang w:val="en-US" w:eastAsia="zh-CN"/>
              </w:rPr>
            </w:pPr>
            <w:r>
              <w:rPr>
                <w:rFonts w:hint="eastAsia" w:ascii="黑体" w:hAnsi="黑体" w:eastAsia="黑体" w:cs="黑体"/>
                <w:lang w:val="en-US" w:eastAsia="zh-CN"/>
              </w:rPr>
              <w:t>背景简介</w:t>
            </w:r>
          </w:p>
          <w:p w14:paraId="71C448FB">
            <w:pPr>
              <w:jc w:val="both"/>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近年来，中国新能源汽车行业迅猛发展，比亚迪凭借其强大的技术能力与生产优势，连续数年保持市场领先地位。然而，2023年初，特斯拉宣布其多款车型全球降价，引发行业连锁反应。作为自主品牌代表，比亚迪迅速响应，启动大规模降价措施，在短期内提升销量，但也面临成本压力与品牌形象挑战。</w:t>
            </w:r>
          </w:p>
          <w:p w14:paraId="62212A3B">
            <w:pPr>
              <w:jc w:val="both"/>
              <w:rPr>
                <w:rFonts w:hint="eastAsia" w:ascii="黑体" w:hAnsi="黑体" w:eastAsia="黑体" w:cs="黑体"/>
                <w:lang w:val="en-US" w:eastAsia="zh-CN"/>
              </w:rPr>
            </w:pPr>
          </w:p>
          <w:p w14:paraId="1935D654">
            <w:pPr>
              <w:jc w:val="both"/>
              <w:rPr>
                <w:rFonts w:hint="eastAsia" w:ascii="黑体" w:hAnsi="黑体" w:eastAsia="黑体" w:cs="黑体"/>
                <w:lang w:val="en-US" w:eastAsia="zh-CN"/>
              </w:rPr>
            </w:pPr>
            <w:r>
              <w:rPr>
                <w:rFonts w:hint="eastAsia" w:ascii="黑体" w:hAnsi="黑体" w:eastAsia="黑体" w:cs="黑体"/>
                <w:lang w:val="en-US" w:eastAsia="zh-CN"/>
              </w:rPr>
              <w:t>问题设定</w:t>
            </w:r>
          </w:p>
          <w:p w14:paraId="769E34F3">
            <w:pPr>
              <w:jc w:val="both"/>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比亚迪的定价策略引发了激烈讨论：应继续扩大市场份额，还是保持品牌溢价？在原材料价格波动和消费者敏感度增强的背景下，企业应如何平衡短期收益与长期战略？同时，降价是否会扰乱行业秩序，损害消费者对新能源汽车质量与价值的认知？</w:t>
            </w:r>
          </w:p>
          <w:p w14:paraId="7FF70308">
            <w:pPr>
              <w:jc w:val="both"/>
              <w:rPr>
                <w:rFonts w:hint="eastAsia" w:ascii="黑体" w:hAnsi="黑体" w:eastAsia="黑体" w:cs="黑体"/>
                <w:lang w:val="en-US" w:eastAsia="zh-CN"/>
              </w:rPr>
            </w:pPr>
          </w:p>
          <w:p w14:paraId="6B6BDB0E">
            <w:pPr>
              <w:jc w:val="both"/>
              <w:rPr>
                <w:rFonts w:hint="eastAsia" w:ascii="黑体" w:hAnsi="黑体" w:eastAsia="黑体" w:cs="黑体"/>
                <w:i/>
                <w:iCs/>
                <w:color w:val="808080" w:themeColor="background1" w:themeShade="80"/>
                <w:lang w:val="en-US" w:eastAsia="zh-CN"/>
              </w:rPr>
            </w:pPr>
            <w:r>
              <w:rPr>
                <w:rFonts w:hint="eastAsia" w:ascii="黑体" w:hAnsi="黑体" w:eastAsia="黑体" w:cs="黑体"/>
                <w:lang w:val="en-US" w:eastAsia="zh-CN"/>
              </w:rPr>
              <w:t>讨论焦点</w:t>
            </w:r>
          </w:p>
          <w:p w14:paraId="4456FCE7">
            <w:pPr>
              <w:numPr>
                <w:ilvl w:val="0"/>
                <w:numId w:val="20"/>
              </w:numPr>
              <w:ind w:left="845" w:leftChars="0" w:hanging="425" w:firstLineChars="0"/>
              <w:jc w:val="both"/>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当前比亚迪采取的是否为“成本导向定价”？其依据何在？</w:t>
            </w:r>
          </w:p>
          <w:p w14:paraId="1897C0E2">
            <w:pPr>
              <w:numPr>
                <w:ilvl w:val="0"/>
                <w:numId w:val="20"/>
              </w:numPr>
              <w:ind w:left="845" w:leftChars="0" w:hanging="425" w:firstLineChars="0"/>
              <w:jc w:val="both"/>
              <w:rPr>
                <w:rFonts w:hint="eastAsia" w:ascii="黑体" w:hAnsi="黑体" w:eastAsia="黑体" w:cs="黑体"/>
                <w:i/>
                <w:iCs/>
                <w:color w:val="808080" w:themeColor="background1" w:themeShade="80"/>
                <w:lang w:val="en-US" w:eastAsia="zh-CN"/>
              </w:rPr>
            </w:pPr>
            <w:r>
              <w:rPr>
                <w:rFonts w:hint="eastAsia" w:ascii="黑体" w:hAnsi="黑体" w:eastAsia="黑体" w:cs="黑体"/>
                <w:i/>
                <w:iCs/>
                <w:color w:val="808080" w:themeColor="background1" w:themeShade="80"/>
                <w:lang w:val="en-US" w:eastAsia="zh-CN"/>
              </w:rPr>
              <w:t>企业在打价格战的同时，是否还有其他策略以保持市场领导力？</w:t>
            </w:r>
          </w:p>
          <w:p w14:paraId="68E27026">
            <w:pPr>
              <w:numPr>
                <w:ilvl w:val="0"/>
                <w:numId w:val="20"/>
              </w:numPr>
              <w:ind w:left="845" w:leftChars="0" w:hanging="425" w:firstLineChars="0"/>
              <w:jc w:val="both"/>
              <w:rPr>
                <w:rFonts w:ascii="宋体" w:hAnsi="宋体" w:eastAsia="宋体" w:cs="宋体"/>
                <w:b w:val="0"/>
                <w:color w:val="000000"/>
                <w:kern w:val="0"/>
                <w:sz w:val="21"/>
                <w:szCs w:val="21"/>
                <w:vertAlign w:val="baseline"/>
                <w:lang w:val="en-US" w:eastAsia="zh-CN" w:bidi="ar"/>
              </w:rPr>
            </w:pPr>
            <w:r>
              <w:rPr>
                <w:rFonts w:hint="eastAsia" w:ascii="黑体" w:hAnsi="黑体" w:eastAsia="黑体" w:cs="黑体"/>
                <w:i/>
                <w:iCs/>
                <w:color w:val="808080" w:themeColor="background1" w:themeShade="80"/>
                <w:lang w:val="en-US" w:eastAsia="zh-CN"/>
              </w:rPr>
              <w:t>如何在确保竞争力的同时，兼顾品牌建设与社会责任？</w:t>
            </w:r>
          </w:p>
        </w:tc>
      </w:tr>
    </w:tbl>
    <w:p w14:paraId="7AD91A21">
      <w:pPr>
        <w:pStyle w:val="12"/>
        <w:keepNext w:val="0"/>
        <w:keepLines w:val="0"/>
        <w:widowControl/>
        <w:numPr>
          <w:ilvl w:val="0"/>
          <w:numId w:val="19"/>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思政导向问题设计（豆包）</w:t>
      </w:r>
    </w:p>
    <w:p w14:paraId="6A9079BD">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思政教育是高校课程体系的重要组成部分，经管课程应在专业教学中有机融入国家战略、民族产业、社会价值等导向性内容。教师可借助豆包平台，输入提示语快速生成具备启发性、开放性与价值引导性的思政导向问题。</w:t>
      </w:r>
    </w:p>
    <w:p w14:paraId="2EE1F5BA">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420" w:firstLineChars="200"/>
        <w:textAlignment w:val="auto"/>
        <w:rPr>
          <w:rFonts w:hint="eastAsia" w:ascii="黑体" w:hAnsi="黑体" w:eastAsia="黑体" w:cs="黑体"/>
          <w:i/>
          <w:iCs/>
          <w:kern w:val="2"/>
          <w:sz w:val="21"/>
          <w:szCs w:val="24"/>
          <w:lang w:val="en-US" w:eastAsia="zh-CN" w:bidi="ar-SA"/>
        </w:rPr>
      </w:pPr>
      <w:r>
        <w:rPr>
          <w:rFonts w:hint="eastAsia" w:ascii="黑体" w:hAnsi="黑体" w:eastAsia="黑体" w:cs="黑体"/>
          <w:i/>
          <w:iCs/>
          <w:kern w:val="2"/>
          <w:sz w:val="21"/>
          <w:szCs w:val="24"/>
          <w:lang w:val="en-US" w:eastAsia="zh-CN" w:bidi="ar-SA"/>
        </w:rPr>
        <w:t>Prompt：（豆包）“请根据‘比亚迪价格战’事件，生成3个用于课堂讨论的思政导向问题，围绕民族品牌、自主创新与企业责任等角度，要求问题具备开放性和可引导性，并附参考答案要点。”</w:t>
      </w:r>
    </w:p>
    <w:p w14:paraId="36A2CF72">
      <w:pPr>
        <w:pStyle w:val="12"/>
        <w:keepNext w:val="0"/>
        <w:keepLines w:val="0"/>
        <w:widowControl/>
        <w:suppressLineNumbers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生成内容示例：</w:t>
      </w:r>
    </w:p>
    <w:tbl>
      <w:tblPr>
        <w:tblStyle w:val="13"/>
        <w:tblW w:w="8844"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4"/>
        <w:gridCol w:w="3685"/>
        <w:gridCol w:w="4195"/>
      </w:tblGrid>
      <w:tr w14:paraId="327DE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919" w:type="dxa"/>
            <w:tcBorders>
              <w:top w:val="single" w:color="000000" w:sz="4" w:space="0"/>
              <w:bottom w:val="single" w:color="auto" w:sz="4" w:space="0"/>
              <w:right w:val="single" w:color="auto" w:sz="4" w:space="0"/>
              <w:tl2br w:val="nil"/>
            </w:tcBorders>
            <w:shd w:val="clear" w:color="auto" w:fill="FFFFFF"/>
            <w:vAlign w:val="center"/>
          </w:tcPr>
          <w:p w14:paraId="184C09D5">
            <w:pPr>
              <w:keepNext w:val="0"/>
              <w:keepLines w:val="0"/>
              <w:widowControl/>
              <w:suppressLineNumbers w:val="0"/>
              <w:ind w:left="0" w:leftChars="0" w:firstLine="0" w:firstLineChars="0"/>
              <w:jc w:val="both"/>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问题编号</w:t>
            </w:r>
          </w:p>
        </w:tc>
        <w:tc>
          <w:tcPr>
            <w:tcW w:w="3655" w:type="dxa"/>
            <w:tcBorders>
              <w:top w:val="single" w:color="000000" w:sz="4" w:space="0"/>
              <w:bottom w:val="single" w:color="auto" w:sz="4" w:space="0"/>
              <w:right w:val="single" w:color="auto" w:sz="4" w:space="0"/>
            </w:tcBorders>
            <w:shd w:val="clear" w:color="auto" w:fill="FFFFFF"/>
            <w:vAlign w:val="center"/>
          </w:tcPr>
          <w:p w14:paraId="21013C31">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思政导向问题</w:t>
            </w:r>
          </w:p>
        </w:tc>
        <w:tc>
          <w:tcPr>
            <w:tcW w:w="4150" w:type="dxa"/>
            <w:tcBorders>
              <w:top w:val="single" w:color="000000" w:sz="4" w:space="0"/>
              <w:bottom w:val="single" w:color="auto" w:sz="4" w:space="0"/>
            </w:tcBorders>
            <w:shd w:val="clear" w:color="auto" w:fill="FFFFFF"/>
            <w:vAlign w:val="center"/>
          </w:tcPr>
          <w:p w14:paraId="3D4DB54D">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参考答案要点</w:t>
            </w:r>
          </w:p>
        </w:tc>
      </w:tr>
      <w:tr w14:paraId="73D014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19" w:type="dxa"/>
            <w:tcBorders>
              <w:right w:val="single" w:color="auto" w:sz="4" w:space="0"/>
            </w:tcBorders>
            <w:shd w:val="clear" w:color="auto" w:fill="FFFFFF"/>
            <w:vAlign w:val="center"/>
          </w:tcPr>
          <w:p w14:paraId="1A304671">
            <w:pPr>
              <w:keepNext w:val="0"/>
              <w:keepLines w:val="0"/>
              <w:widowControl/>
              <w:suppressLineNumbers w:val="0"/>
              <w:jc w:val="both"/>
              <w:rPr>
                <w:b w:val="0"/>
                <w:color w:val="000000"/>
                <w:sz w:val="21"/>
                <w:szCs w:val="21"/>
              </w:rPr>
            </w:pPr>
            <w:r>
              <w:rPr>
                <w:rFonts w:ascii="宋体" w:hAnsi="宋体" w:eastAsia="宋体" w:cs="宋体"/>
                <w:b w:val="0"/>
                <w:color w:val="000000"/>
                <w:kern w:val="0"/>
                <w:sz w:val="21"/>
                <w:szCs w:val="21"/>
                <w:lang w:val="en-US" w:eastAsia="zh-CN" w:bidi="ar"/>
              </w:rPr>
              <w:t>Q1</w:t>
            </w:r>
          </w:p>
        </w:tc>
        <w:tc>
          <w:tcPr>
            <w:tcW w:w="3655" w:type="dxa"/>
            <w:tcBorders>
              <w:right w:val="single" w:color="auto" w:sz="4" w:space="0"/>
            </w:tcBorders>
            <w:shd w:val="clear" w:color="auto" w:fill="FFFFFF"/>
            <w:vAlign w:val="center"/>
          </w:tcPr>
          <w:p w14:paraId="33C54FA1">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民族品牌在激烈竞争中应如何兼顾价格策略与国家形象？</w:t>
            </w:r>
          </w:p>
        </w:tc>
        <w:tc>
          <w:tcPr>
            <w:tcW w:w="4150" w:type="dxa"/>
            <w:shd w:val="clear" w:color="auto" w:fill="FFFFFF"/>
            <w:vAlign w:val="center"/>
          </w:tcPr>
          <w:p w14:paraId="42668223">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强调质量标准、创新引领、负责任降价，展现“中国制造”全球竞争力</w:t>
            </w:r>
          </w:p>
        </w:tc>
      </w:tr>
      <w:tr w14:paraId="4F204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19" w:type="dxa"/>
            <w:tcBorders>
              <w:right w:val="single" w:color="auto" w:sz="4" w:space="0"/>
            </w:tcBorders>
            <w:shd w:val="clear" w:color="auto" w:fill="FFFFFF"/>
            <w:vAlign w:val="center"/>
          </w:tcPr>
          <w:p w14:paraId="5E61605B">
            <w:pPr>
              <w:keepNext w:val="0"/>
              <w:keepLines w:val="0"/>
              <w:widowControl/>
              <w:suppressLineNumbers w:val="0"/>
              <w:jc w:val="both"/>
              <w:rPr>
                <w:b w:val="0"/>
                <w:color w:val="000000"/>
                <w:sz w:val="21"/>
                <w:szCs w:val="21"/>
              </w:rPr>
            </w:pPr>
            <w:r>
              <w:rPr>
                <w:rFonts w:ascii="宋体" w:hAnsi="宋体" w:eastAsia="宋体" w:cs="宋体"/>
                <w:b w:val="0"/>
                <w:color w:val="000000"/>
                <w:kern w:val="0"/>
                <w:sz w:val="21"/>
                <w:szCs w:val="21"/>
                <w:lang w:val="en-US" w:eastAsia="zh-CN" w:bidi="ar"/>
              </w:rPr>
              <w:t>Q2</w:t>
            </w:r>
          </w:p>
        </w:tc>
        <w:tc>
          <w:tcPr>
            <w:tcW w:w="3655" w:type="dxa"/>
            <w:tcBorders>
              <w:right w:val="single" w:color="auto" w:sz="4" w:space="0"/>
            </w:tcBorders>
            <w:shd w:val="clear" w:color="auto" w:fill="FFFFFF"/>
            <w:vAlign w:val="center"/>
          </w:tcPr>
          <w:p w14:paraId="2DBAF9BA">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如何理解“降价”背后的企业担当与发展使命？</w:t>
            </w:r>
          </w:p>
        </w:tc>
        <w:tc>
          <w:tcPr>
            <w:tcW w:w="4150" w:type="dxa"/>
            <w:shd w:val="clear" w:color="auto" w:fill="FFFFFF"/>
            <w:vAlign w:val="center"/>
          </w:tcPr>
          <w:p w14:paraId="1D653813">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企业通过降价扩大绿色产品覆盖，提升普惠性，体现国家“双碳”目标中的市场作用</w:t>
            </w:r>
          </w:p>
        </w:tc>
      </w:tr>
      <w:tr w14:paraId="2CCBF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19" w:type="dxa"/>
            <w:tcBorders>
              <w:bottom w:val="single" w:color="000000" w:sz="4" w:space="0"/>
              <w:right w:val="single" w:color="auto" w:sz="4" w:space="0"/>
            </w:tcBorders>
            <w:shd w:val="clear" w:color="auto" w:fill="FFFFFF"/>
            <w:vAlign w:val="center"/>
          </w:tcPr>
          <w:p w14:paraId="41262C46">
            <w:pPr>
              <w:keepNext w:val="0"/>
              <w:keepLines w:val="0"/>
              <w:widowControl/>
              <w:suppressLineNumbers w:val="0"/>
              <w:jc w:val="both"/>
              <w:rPr>
                <w:b w:val="0"/>
                <w:color w:val="000000"/>
                <w:sz w:val="21"/>
                <w:szCs w:val="21"/>
              </w:rPr>
            </w:pPr>
            <w:r>
              <w:rPr>
                <w:rFonts w:ascii="宋体" w:hAnsi="宋体" w:eastAsia="宋体" w:cs="宋体"/>
                <w:b w:val="0"/>
                <w:color w:val="000000"/>
                <w:kern w:val="0"/>
                <w:sz w:val="21"/>
                <w:szCs w:val="21"/>
                <w:lang w:val="en-US" w:eastAsia="zh-CN" w:bidi="ar"/>
              </w:rPr>
              <w:t>Q3</w:t>
            </w:r>
          </w:p>
        </w:tc>
        <w:tc>
          <w:tcPr>
            <w:tcW w:w="3655" w:type="dxa"/>
            <w:tcBorders>
              <w:bottom w:val="single" w:color="000000" w:sz="4" w:space="0"/>
              <w:right w:val="single" w:color="auto" w:sz="4" w:space="0"/>
            </w:tcBorders>
            <w:shd w:val="clear" w:color="auto" w:fill="FFFFFF"/>
            <w:vAlign w:val="center"/>
          </w:tcPr>
          <w:p w14:paraId="301D3B78">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在复杂市场竞争中，企业如何体现新时代中国企业家的价值取向？</w:t>
            </w:r>
          </w:p>
        </w:tc>
        <w:tc>
          <w:tcPr>
            <w:tcW w:w="4150" w:type="dxa"/>
            <w:tcBorders>
              <w:bottom w:val="single" w:color="000000" w:sz="4" w:space="0"/>
            </w:tcBorders>
            <w:shd w:val="clear" w:color="auto" w:fill="FFFFFF"/>
            <w:vAlign w:val="center"/>
          </w:tcPr>
          <w:p w14:paraId="7237BEC7">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遵循公平竞争、科技报国、重视消费者权益，不以恶性竞争换取短期收益</w:t>
            </w:r>
          </w:p>
        </w:tc>
      </w:tr>
    </w:tbl>
    <w:p w14:paraId="668EE6E3">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此类问题可嵌入课堂讲授、分组讨论、课程汇报等环节中，不仅拓展学生对企业战略的多维理解，也增强其对专业与国家发展之间关联的认知与责任意识。</w:t>
      </w:r>
    </w:p>
    <w:p w14:paraId="2E23C747">
      <w:pPr>
        <w:pStyle w:val="12"/>
        <w:keepNext w:val="0"/>
        <w:keepLines w:val="0"/>
        <w:widowControl/>
        <w:numPr>
          <w:ilvl w:val="0"/>
          <w:numId w:val="19"/>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教学建议与延伸任务</w:t>
      </w:r>
    </w:p>
    <w:p w14:paraId="6C2AC753">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为增强案例使用的灵活性与教学深度，建议教师基于上述内容，布置以下任务：</w:t>
      </w:r>
    </w:p>
    <w:p w14:paraId="082C845B">
      <w:pPr>
        <w:pStyle w:val="12"/>
        <w:keepNext w:val="0"/>
        <w:keepLines w:val="0"/>
        <w:widowControl/>
        <w:suppressLineNumbers w:val="0"/>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生成内容示例：</w:t>
      </w:r>
    </w:p>
    <w:tbl>
      <w:tblPr>
        <w:tblStyle w:val="13"/>
        <w:tblW w:w="9120"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37"/>
        <w:gridCol w:w="4285"/>
        <w:gridCol w:w="3798"/>
      </w:tblGrid>
      <w:tr w14:paraId="03CBE4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992" w:type="dxa"/>
            <w:tcBorders>
              <w:top w:val="single" w:color="000000" w:sz="4" w:space="0"/>
              <w:bottom w:val="single" w:color="auto" w:sz="4" w:space="0"/>
              <w:right w:val="single" w:color="auto" w:sz="4" w:space="0"/>
              <w:tl2br w:val="nil"/>
            </w:tcBorders>
            <w:shd w:val="clear" w:color="auto" w:fill="FFFFFF"/>
            <w:vAlign w:val="center"/>
          </w:tcPr>
          <w:p w14:paraId="3320D17D">
            <w:pPr>
              <w:keepNext w:val="0"/>
              <w:keepLines w:val="0"/>
              <w:widowControl/>
              <w:suppressLineNumbers w:val="0"/>
              <w:ind w:left="0" w:leftChars="0" w:firstLine="0" w:firstLineChars="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类型</w:t>
            </w:r>
          </w:p>
        </w:tc>
        <w:tc>
          <w:tcPr>
            <w:tcW w:w="4255" w:type="dxa"/>
            <w:tcBorders>
              <w:top w:val="single" w:color="000000" w:sz="4" w:space="0"/>
              <w:bottom w:val="single" w:color="auto" w:sz="4" w:space="0"/>
              <w:right w:val="single" w:color="auto" w:sz="4" w:space="0"/>
            </w:tcBorders>
            <w:shd w:val="clear" w:color="auto" w:fill="FFFFFF"/>
            <w:vAlign w:val="center"/>
          </w:tcPr>
          <w:p w14:paraId="53D781FA">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任务说明</w:t>
            </w:r>
          </w:p>
        </w:tc>
        <w:tc>
          <w:tcPr>
            <w:tcW w:w="3753" w:type="dxa"/>
            <w:tcBorders>
              <w:top w:val="single" w:color="000000" w:sz="4" w:space="0"/>
              <w:bottom w:val="single" w:color="auto" w:sz="4" w:space="0"/>
            </w:tcBorders>
            <w:shd w:val="clear" w:color="auto" w:fill="FFFFFF"/>
            <w:vAlign w:val="center"/>
          </w:tcPr>
          <w:p w14:paraId="01C2C670">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AIGC支持方式</w:t>
            </w:r>
          </w:p>
        </w:tc>
      </w:tr>
      <w:tr w14:paraId="1D1DBF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92" w:type="dxa"/>
            <w:tcBorders>
              <w:right w:val="single" w:color="auto" w:sz="4" w:space="0"/>
            </w:tcBorders>
            <w:shd w:val="clear" w:color="auto" w:fill="FFFFFF"/>
            <w:vAlign w:val="center"/>
          </w:tcPr>
          <w:p w14:paraId="7EA332B5">
            <w:pPr>
              <w:keepNext w:val="0"/>
              <w:keepLines w:val="0"/>
              <w:widowControl/>
              <w:suppressLineNumbers w:val="0"/>
              <w:ind w:left="0" w:leftChars="0" w:firstLine="0" w:firstLineChars="0"/>
              <w:jc w:val="left"/>
              <w:rPr>
                <w:b w:val="0"/>
                <w:color w:val="000000"/>
                <w:sz w:val="21"/>
                <w:szCs w:val="21"/>
              </w:rPr>
            </w:pPr>
            <w:r>
              <w:rPr>
                <w:rFonts w:ascii="宋体" w:hAnsi="宋体" w:eastAsia="宋体" w:cs="宋体"/>
                <w:b w:val="0"/>
                <w:color w:val="000000"/>
                <w:kern w:val="0"/>
                <w:sz w:val="21"/>
                <w:szCs w:val="21"/>
                <w:lang w:val="en-US" w:eastAsia="zh-CN" w:bidi="ar"/>
              </w:rPr>
              <w:t>小组任务</w:t>
            </w:r>
          </w:p>
        </w:tc>
        <w:tc>
          <w:tcPr>
            <w:tcW w:w="4255" w:type="dxa"/>
            <w:tcBorders>
              <w:right w:val="single" w:color="auto" w:sz="4" w:space="0"/>
            </w:tcBorders>
            <w:shd w:val="clear" w:color="auto" w:fill="FFFFFF"/>
            <w:vAlign w:val="center"/>
          </w:tcPr>
          <w:p w14:paraId="6A449564">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就“价格战后的战略选择”撰写模拟企业报告</w:t>
            </w:r>
          </w:p>
        </w:tc>
        <w:tc>
          <w:tcPr>
            <w:tcW w:w="3753" w:type="dxa"/>
            <w:shd w:val="clear" w:color="auto" w:fill="FFFFFF"/>
            <w:vAlign w:val="center"/>
          </w:tcPr>
          <w:p w14:paraId="22B12ED0">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智谱清言生成报告框架与段落草稿</w:t>
            </w:r>
          </w:p>
        </w:tc>
      </w:tr>
      <w:tr w14:paraId="68840D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92" w:type="dxa"/>
            <w:tcBorders>
              <w:right w:val="single" w:color="auto" w:sz="4" w:space="0"/>
            </w:tcBorders>
            <w:shd w:val="clear" w:color="auto" w:fill="FFFFFF"/>
            <w:vAlign w:val="center"/>
          </w:tcPr>
          <w:p w14:paraId="1C16278A">
            <w:pPr>
              <w:keepNext w:val="0"/>
              <w:keepLines w:val="0"/>
              <w:widowControl/>
              <w:suppressLineNumbers w:val="0"/>
              <w:ind w:left="0" w:leftChars="0" w:firstLine="0" w:firstLineChars="0"/>
              <w:jc w:val="left"/>
              <w:rPr>
                <w:b w:val="0"/>
                <w:color w:val="000000"/>
                <w:sz w:val="21"/>
                <w:szCs w:val="21"/>
              </w:rPr>
            </w:pPr>
            <w:r>
              <w:rPr>
                <w:rFonts w:ascii="宋体" w:hAnsi="宋体" w:eastAsia="宋体" w:cs="宋体"/>
                <w:b w:val="0"/>
                <w:color w:val="000000"/>
                <w:kern w:val="0"/>
                <w:sz w:val="21"/>
                <w:szCs w:val="21"/>
                <w:lang w:val="en-US" w:eastAsia="zh-CN" w:bidi="ar"/>
              </w:rPr>
              <w:t>课堂练习</w:t>
            </w:r>
          </w:p>
        </w:tc>
        <w:tc>
          <w:tcPr>
            <w:tcW w:w="4255" w:type="dxa"/>
            <w:tcBorders>
              <w:right w:val="single" w:color="auto" w:sz="4" w:space="0"/>
            </w:tcBorders>
            <w:shd w:val="clear" w:color="auto" w:fill="FFFFFF"/>
            <w:vAlign w:val="center"/>
          </w:tcPr>
          <w:p w14:paraId="5A0806A1">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对比比亚迪与特斯拉降价路径，撰写对比分析</w:t>
            </w:r>
          </w:p>
        </w:tc>
        <w:tc>
          <w:tcPr>
            <w:tcW w:w="3753" w:type="dxa"/>
            <w:shd w:val="clear" w:color="auto" w:fill="FFFFFF"/>
            <w:vAlign w:val="center"/>
          </w:tcPr>
          <w:p w14:paraId="7D79BC4A">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豆包生成对比分析结构建议与段落</w:t>
            </w:r>
          </w:p>
        </w:tc>
      </w:tr>
      <w:tr w14:paraId="213CC6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992" w:type="dxa"/>
            <w:tcBorders>
              <w:bottom w:val="single" w:color="000000" w:sz="4" w:space="0"/>
              <w:right w:val="single" w:color="auto" w:sz="4" w:space="0"/>
            </w:tcBorders>
            <w:shd w:val="clear" w:color="auto" w:fill="FFFFFF"/>
            <w:vAlign w:val="center"/>
          </w:tcPr>
          <w:p w14:paraId="4D50D1E0">
            <w:pPr>
              <w:keepNext w:val="0"/>
              <w:keepLines w:val="0"/>
              <w:widowControl/>
              <w:suppressLineNumbers w:val="0"/>
              <w:ind w:left="0" w:leftChars="0" w:firstLine="0" w:firstLineChars="0"/>
              <w:jc w:val="left"/>
              <w:rPr>
                <w:b w:val="0"/>
                <w:color w:val="000000"/>
                <w:sz w:val="21"/>
                <w:szCs w:val="21"/>
              </w:rPr>
            </w:pPr>
            <w:r>
              <w:rPr>
                <w:rFonts w:ascii="宋体" w:hAnsi="宋体" w:eastAsia="宋体" w:cs="宋体"/>
                <w:b w:val="0"/>
                <w:color w:val="000000"/>
                <w:kern w:val="0"/>
                <w:sz w:val="21"/>
                <w:szCs w:val="21"/>
                <w:lang w:val="en-US" w:eastAsia="zh-CN" w:bidi="ar"/>
              </w:rPr>
              <w:t>思政写作</w:t>
            </w:r>
          </w:p>
        </w:tc>
        <w:tc>
          <w:tcPr>
            <w:tcW w:w="4255" w:type="dxa"/>
            <w:tcBorders>
              <w:bottom w:val="single" w:color="000000" w:sz="4" w:space="0"/>
              <w:right w:val="single" w:color="auto" w:sz="4" w:space="0"/>
            </w:tcBorders>
            <w:shd w:val="clear" w:color="auto" w:fill="FFFFFF"/>
            <w:vAlign w:val="center"/>
          </w:tcPr>
          <w:p w14:paraId="57242A04">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撰写“从比亚迪案例看民族品牌崛起”短文</w:t>
            </w:r>
          </w:p>
        </w:tc>
        <w:tc>
          <w:tcPr>
            <w:tcW w:w="3753" w:type="dxa"/>
            <w:tcBorders>
              <w:bottom w:val="single" w:color="000000" w:sz="4" w:space="0"/>
            </w:tcBorders>
            <w:shd w:val="clear" w:color="auto" w:fill="FFFFFF"/>
            <w:vAlign w:val="center"/>
          </w:tcPr>
          <w:p w14:paraId="57F0333F">
            <w:pPr>
              <w:keepNext w:val="0"/>
              <w:keepLines w:val="0"/>
              <w:widowControl/>
              <w:suppressLineNumbers w:val="0"/>
              <w:ind w:left="0" w:leftChars="0" w:firstLine="0" w:firstLineChars="0"/>
              <w:jc w:val="both"/>
              <w:rPr>
                <w:b w:val="0"/>
                <w:color w:val="000000"/>
                <w:sz w:val="21"/>
                <w:szCs w:val="21"/>
              </w:rPr>
            </w:pPr>
            <w:r>
              <w:rPr>
                <w:rFonts w:ascii="宋体" w:hAnsi="宋体" w:eastAsia="宋体" w:cs="宋体"/>
                <w:b w:val="0"/>
                <w:color w:val="000000"/>
                <w:kern w:val="0"/>
                <w:sz w:val="21"/>
                <w:szCs w:val="21"/>
                <w:lang w:val="en-US" w:eastAsia="zh-CN" w:bidi="ar"/>
              </w:rPr>
              <w:t>智谱清言+豆包共同构建作文大纲与语料</w:t>
            </w:r>
          </w:p>
        </w:tc>
      </w:tr>
    </w:tbl>
    <w:p w14:paraId="01BDAF7B">
      <w:pPr>
        <w:pStyle w:val="12"/>
        <w:keepNext w:val="0"/>
        <w:keepLines w:val="0"/>
        <w:widowControl/>
        <w:suppressLineNumbers w:val="0"/>
        <w:ind w:left="0" w:leftChars="0" w:firstLine="280" w:firstLineChars="100"/>
        <w:rPr>
          <w:rFonts w:hint="eastAsia" w:ascii="宋体" w:hAnsi="宋体" w:eastAsia="宋体" w:cs="宋体"/>
          <w:kern w:val="0"/>
          <w:sz w:val="21"/>
          <w:szCs w:val="21"/>
          <w:lang w:val="en-US" w:eastAsia="zh-CN" w:bidi="ar"/>
        </w:rPr>
      </w:pPr>
      <w:r>
        <w:rPr>
          <w:rFonts w:hint="eastAsia" w:ascii="Arial" w:hAnsi="Arial" w:eastAsia="黑体" w:cs="Arial"/>
          <w:b w:val="0"/>
          <w:bCs/>
          <w:kern w:val="0"/>
          <w:sz w:val="28"/>
          <w:szCs w:val="27"/>
          <w:lang w:val="en-US" w:eastAsia="zh-CN" w:bidi="he-IL"/>
        </w:rPr>
        <w:t>2.5.4 题库生成与练习设计（通义千问）</w:t>
      </w:r>
    </w:p>
    <w:p w14:paraId="02FC3D16">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课堂练习与测评题目是教学闭环中的关键环节，既是学生知识掌握情况的反馈机制，也是课程能力目标达成度的重要标尺。在实际教学中，编写高质量、贴合课程目标且具有启发性的题目耗时较长，重复劳动程度高。借助通义千问办公助手，教师可以通过输入课程主题与知识点，快速批量生成多类型题目，并配套生成答案与解析，从而显著提升教学评估设计的效率与质量。</w:t>
      </w:r>
    </w:p>
    <w:p w14:paraId="78386DDF">
      <w:pPr>
        <w:pStyle w:val="12"/>
        <w:keepNext w:val="0"/>
        <w:keepLines w:val="0"/>
        <w:widowControl/>
        <w:numPr>
          <w:ilvl w:val="0"/>
          <w:numId w:val="21"/>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平台能力与适用范围概述</w:t>
      </w:r>
    </w:p>
    <w:p w14:paraId="1F84AA21">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通义千问办公助手具备多轮Prompt解析能力与格式输出能力，能够在教师给定的“主题+知识点+题型偏好”条件下，自动生成如下题型：</w:t>
      </w:r>
    </w:p>
    <w:p w14:paraId="1C212D6E">
      <w:pPr>
        <w:pStyle w:val="12"/>
        <w:keepNext w:val="0"/>
        <w:keepLines w:val="0"/>
        <w:widowControl/>
        <w:suppressLineNumbers w:val="0"/>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生成内容示例：</w:t>
      </w:r>
    </w:p>
    <w:tbl>
      <w:tblPr>
        <w:tblStyle w:val="13"/>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45"/>
        <w:gridCol w:w="3630"/>
        <w:gridCol w:w="1965"/>
      </w:tblGrid>
      <w:tr w14:paraId="5E4C65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tcBorders>
              <w:top w:val="single" w:color="000000" w:sz="4" w:space="0"/>
              <w:bottom w:val="single" w:color="auto" w:sz="4" w:space="0"/>
              <w:tl2br w:val="nil"/>
            </w:tcBorders>
            <w:shd w:val="clear" w:color="auto" w:fill="FFFFFF"/>
            <w:vAlign w:val="center"/>
          </w:tcPr>
          <w:p w14:paraId="65C13E24">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题型</w:t>
            </w:r>
          </w:p>
        </w:tc>
        <w:tc>
          <w:tcPr>
            <w:tcW w:w="0" w:type="auto"/>
            <w:tcBorders>
              <w:top w:val="single" w:color="000000" w:sz="4" w:space="0"/>
              <w:bottom w:val="single" w:color="auto" w:sz="4" w:space="0"/>
            </w:tcBorders>
            <w:shd w:val="clear" w:color="auto" w:fill="FFFFFF"/>
            <w:vAlign w:val="center"/>
          </w:tcPr>
          <w:p w14:paraId="36B5E4D9">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描述</w:t>
            </w:r>
          </w:p>
        </w:tc>
        <w:tc>
          <w:tcPr>
            <w:tcW w:w="0" w:type="auto"/>
            <w:tcBorders>
              <w:top w:val="single" w:color="000000" w:sz="4" w:space="0"/>
              <w:bottom w:val="single" w:color="auto" w:sz="4" w:space="0"/>
            </w:tcBorders>
            <w:shd w:val="clear" w:color="auto" w:fill="FFFFFF"/>
            <w:vAlign w:val="center"/>
          </w:tcPr>
          <w:p w14:paraId="62F33FBA">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适用目标</w:t>
            </w:r>
          </w:p>
        </w:tc>
      </w:tr>
      <w:tr w14:paraId="7FD120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FFFFFF"/>
            <w:vAlign w:val="center"/>
          </w:tcPr>
          <w:p w14:paraId="453900C2">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选择题</w:t>
            </w:r>
          </w:p>
        </w:tc>
        <w:tc>
          <w:tcPr>
            <w:tcW w:w="0" w:type="auto"/>
            <w:shd w:val="clear" w:color="auto" w:fill="FFFFFF"/>
            <w:vAlign w:val="center"/>
          </w:tcPr>
          <w:p w14:paraId="176DA381">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单选或多选，强调概念理解与判断</w:t>
            </w:r>
          </w:p>
        </w:tc>
        <w:tc>
          <w:tcPr>
            <w:tcW w:w="0" w:type="auto"/>
            <w:shd w:val="clear" w:color="auto" w:fill="FFFFFF"/>
            <w:vAlign w:val="center"/>
          </w:tcPr>
          <w:p w14:paraId="176FEA4A">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认知层目标检测</w:t>
            </w:r>
          </w:p>
        </w:tc>
      </w:tr>
      <w:tr w14:paraId="54DED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FFFFFF"/>
            <w:vAlign w:val="center"/>
          </w:tcPr>
          <w:p w14:paraId="364C5D5A">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判断题</w:t>
            </w:r>
          </w:p>
        </w:tc>
        <w:tc>
          <w:tcPr>
            <w:tcW w:w="0" w:type="auto"/>
            <w:shd w:val="clear" w:color="auto" w:fill="FFFFFF"/>
            <w:vAlign w:val="center"/>
          </w:tcPr>
          <w:p w14:paraId="012A53A5">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快速辨析定性问题</w:t>
            </w:r>
          </w:p>
        </w:tc>
        <w:tc>
          <w:tcPr>
            <w:tcW w:w="0" w:type="auto"/>
            <w:shd w:val="clear" w:color="auto" w:fill="FFFFFF"/>
            <w:vAlign w:val="center"/>
          </w:tcPr>
          <w:p w14:paraId="00BF8145">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基础概念检验</w:t>
            </w:r>
          </w:p>
        </w:tc>
      </w:tr>
      <w:tr w14:paraId="4BDF8D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FFFFFF"/>
            <w:vAlign w:val="center"/>
          </w:tcPr>
          <w:p w14:paraId="50AE134A">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简答题</w:t>
            </w:r>
          </w:p>
        </w:tc>
        <w:tc>
          <w:tcPr>
            <w:tcW w:w="0" w:type="auto"/>
            <w:shd w:val="clear" w:color="auto" w:fill="FFFFFF"/>
            <w:vAlign w:val="center"/>
          </w:tcPr>
          <w:p w14:paraId="4BBB8D21">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简述原理、比较差异或阐释观点</w:t>
            </w:r>
          </w:p>
        </w:tc>
        <w:tc>
          <w:tcPr>
            <w:tcW w:w="0" w:type="auto"/>
            <w:shd w:val="clear" w:color="auto" w:fill="FFFFFF"/>
            <w:vAlign w:val="center"/>
          </w:tcPr>
          <w:p w14:paraId="70A3B6C5">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应用层目标检测</w:t>
            </w:r>
          </w:p>
        </w:tc>
      </w:tr>
      <w:tr w14:paraId="568362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tcBorders>
              <w:bottom w:val="single" w:color="000000" w:sz="4" w:space="0"/>
            </w:tcBorders>
            <w:shd w:val="clear" w:color="auto" w:fill="FFFFFF"/>
            <w:vAlign w:val="center"/>
          </w:tcPr>
          <w:p w14:paraId="3067B21A">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案例分析题</w:t>
            </w:r>
          </w:p>
        </w:tc>
        <w:tc>
          <w:tcPr>
            <w:tcW w:w="0" w:type="auto"/>
            <w:tcBorders>
              <w:bottom w:val="single" w:color="000000" w:sz="4" w:space="0"/>
            </w:tcBorders>
            <w:shd w:val="clear" w:color="auto" w:fill="FFFFFF"/>
            <w:vAlign w:val="center"/>
          </w:tcPr>
          <w:p w14:paraId="30844521">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基于案例场景设计问题链</w:t>
            </w:r>
          </w:p>
        </w:tc>
        <w:tc>
          <w:tcPr>
            <w:tcW w:w="0" w:type="auto"/>
            <w:tcBorders>
              <w:bottom w:val="single" w:color="000000" w:sz="4" w:space="0"/>
            </w:tcBorders>
            <w:shd w:val="clear" w:color="auto" w:fill="FFFFFF"/>
            <w:vAlign w:val="center"/>
          </w:tcPr>
          <w:p w14:paraId="558E8029">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综合能力评价</w:t>
            </w:r>
          </w:p>
        </w:tc>
      </w:tr>
    </w:tbl>
    <w:p w14:paraId="77936B3E">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生成内容默认包含题干、选项、正确答案、简要解析，教师可根据实际教学内容进行微调或拓展使用。</w:t>
      </w:r>
    </w:p>
    <w:p w14:paraId="23381B9C">
      <w:pPr>
        <w:pStyle w:val="12"/>
        <w:keepNext w:val="0"/>
        <w:keepLines w:val="0"/>
        <w:widowControl/>
        <w:numPr>
          <w:ilvl w:val="0"/>
          <w:numId w:val="21"/>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题目生成示例（基于比亚迪价格战）</w:t>
      </w:r>
    </w:p>
    <w:p w14:paraId="2009DA30">
      <w:pPr>
        <w:rPr>
          <w:rFonts w:hint="eastAsia" w:ascii="黑体" w:hAnsi="黑体" w:eastAsia="黑体" w:cs="黑体"/>
          <w:i/>
          <w:iCs/>
          <w:lang w:val="en-US" w:eastAsia="zh-CN"/>
        </w:rPr>
      </w:pPr>
      <w:r>
        <w:rPr>
          <w:rFonts w:hint="eastAsia" w:ascii="黑体" w:hAnsi="黑体" w:eastAsia="黑体" w:cs="黑体"/>
          <w:i/>
          <w:iCs/>
          <w:lang w:val="en-US" w:eastAsia="zh-CN"/>
        </w:rPr>
        <w:t>Prompt：（通义千问）请基于“比亚迪价格战”事件，为课程生成以下题型：</w:t>
      </w:r>
    </w:p>
    <w:p w14:paraId="1EE0E285">
      <w:pPr>
        <w:numPr>
          <w:ilvl w:val="0"/>
          <w:numId w:val="22"/>
        </w:numPr>
        <w:ind w:left="1260" w:leftChars="0" w:hanging="420" w:firstLineChars="0"/>
        <w:rPr>
          <w:rFonts w:hint="eastAsia" w:ascii="黑体" w:hAnsi="黑体" w:eastAsia="黑体" w:cs="黑体"/>
          <w:i/>
          <w:iCs/>
          <w:lang w:val="en-US" w:eastAsia="zh-CN"/>
        </w:rPr>
      </w:pPr>
      <w:r>
        <w:rPr>
          <w:rFonts w:hint="eastAsia" w:ascii="黑体" w:hAnsi="黑体" w:eastAsia="黑体" w:cs="黑体"/>
          <w:i/>
          <w:iCs/>
          <w:lang w:val="en-US" w:eastAsia="zh-CN"/>
        </w:rPr>
        <w:t>单项选择题2题，测试定价策略理解；</w:t>
      </w:r>
    </w:p>
    <w:p w14:paraId="5C957DCF">
      <w:pPr>
        <w:numPr>
          <w:ilvl w:val="0"/>
          <w:numId w:val="22"/>
        </w:numPr>
        <w:ind w:left="1260" w:leftChars="0" w:hanging="420" w:firstLineChars="0"/>
        <w:rPr>
          <w:rFonts w:hint="eastAsia" w:ascii="黑体" w:hAnsi="黑体" w:eastAsia="黑体" w:cs="黑体"/>
          <w:i/>
          <w:iCs/>
          <w:lang w:val="en-US" w:eastAsia="zh-CN"/>
        </w:rPr>
      </w:pPr>
      <w:r>
        <w:rPr>
          <w:rFonts w:hint="eastAsia" w:ascii="黑体" w:hAnsi="黑体" w:eastAsia="黑体" w:cs="黑体"/>
          <w:i/>
          <w:iCs/>
          <w:lang w:val="en-US" w:eastAsia="zh-CN"/>
        </w:rPr>
        <w:t>判断题2题，测试价格战基本特征；</w:t>
      </w:r>
    </w:p>
    <w:p w14:paraId="0755DAE6">
      <w:pPr>
        <w:numPr>
          <w:ilvl w:val="0"/>
          <w:numId w:val="22"/>
        </w:numPr>
        <w:ind w:left="1260" w:leftChars="0" w:hanging="420" w:firstLineChars="0"/>
        <w:rPr>
          <w:rFonts w:hint="eastAsia" w:ascii="黑体" w:hAnsi="黑体" w:eastAsia="黑体" w:cs="黑体"/>
          <w:i/>
          <w:iCs/>
          <w:lang w:val="en-US" w:eastAsia="zh-CN"/>
        </w:rPr>
      </w:pPr>
      <w:r>
        <w:rPr>
          <w:rFonts w:hint="eastAsia" w:ascii="黑体" w:hAnsi="黑体" w:eastAsia="黑体" w:cs="黑体"/>
          <w:i/>
          <w:iCs/>
          <w:lang w:val="en-US" w:eastAsia="zh-CN"/>
        </w:rPr>
        <w:t>简答题1题，要求解释竞争导向定价策略；</w:t>
      </w:r>
    </w:p>
    <w:p w14:paraId="6232376C">
      <w:pPr>
        <w:numPr>
          <w:ilvl w:val="0"/>
          <w:numId w:val="22"/>
        </w:numPr>
        <w:ind w:left="1260" w:leftChars="0" w:hanging="420" w:firstLineChars="0"/>
        <w:rPr>
          <w:rFonts w:hint="eastAsia" w:ascii="黑体" w:hAnsi="黑体" w:eastAsia="黑体" w:cs="黑体"/>
          <w:i/>
          <w:iCs/>
          <w:lang w:val="en-US" w:eastAsia="zh-CN"/>
        </w:rPr>
      </w:pPr>
      <w:r>
        <w:rPr>
          <w:rFonts w:hint="eastAsia" w:ascii="黑体" w:hAnsi="黑体" w:eastAsia="黑体" w:cs="黑体"/>
          <w:i/>
          <w:iCs/>
          <w:lang w:val="en-US" w:eastAsia="zh-CN"/>
        </w:rPr>
        <w:t>案例分析题1题，结合比亚迪案例探讨战略选择；</w:t>
      </w:r>
    </w:p>
    <w:p w14:paraId="4B2A305B">
      <w:pPr>
        <w:numPr>
          <w:ilvl w:val="0"/>
          <w:numId w:val="22"/>
        </w:numPr>
        <w:ind w:left="1260" w:leftChars="0" w:hanging="420" w:firstLineChars="0"/>
        <w:rPr>
          <w:rFonts w:hint="eastAsia" w:ascii="黑体" w:hAnsi="黑体" w:eastAsia="黑体" w:cs="黑体"/>
          <w:i/>
          <w:iCs/>
          <w:lang w:val="en-US" w:eastAsia="zh-CN"/>
        </w:rPr>
      </w:pPr>
      <w:r>
        <w:rPr>
          <w:rFonts w:hint="eastAsia" w:ascii="黑体" w:hAnsi="黑体" w:eastAsia="黑体" w:cs="黑体"/>
          <w:i/>
          <w:iCs/>
          <w:lang w:val="en-US" w:eastAsia="zh-CN"/>
        </w:rPr>
        <w:t>每题请附答案与解析，语言需符合教学题库规范。</w:t>
      </w:r>
    </w:p>
    <w:p w14:paraId="7C97D85C">
      <w:pPr>
        <w:pStyle w:val="12"/>
        <w:keepNext w:val="0"/>
        <w:keepLines w:val="0"/>
        <w:widowControl/>
        <w:suppressLineNumbers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生成内容示例：</w:t>
      </w:r>
    </w:p>
    <w:p w14:paraId="70903F8B">
      <w:pPr>
        <w:pStyle w:val="12"/>
        <w:keepNext w:val="0"/>
        <w:keepLines w:val="0"/>
        <w:widowControl/>
        <w:suppressLineNumbers w:val="0"/>
        <w:rPr>
          <w:rFonts w:hint="eastAsia" w:ascii="宋体" w:hAnsi="宋体" w:eastAsia="宋体" w:cs="宋体"/>
          <w:kern w:val="0"/>
          <w:sz w:val="21"/>
          <w:szCs w:val="21"/>
          <w:lang w:val="en-US" w:eastAsia="zh-CN" w:bidi="ar"/>
        </w:rPr>
      </w:pPr>
      <w:r>
        <w:drawing>
          <wp:inline distT="0" distB="0" distL="114300" distR="114300">
            <wp:extent cx="3161665" cy="2030095"/>
            <wp:effectExtent l="0" t="0" r="13335" b="190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0"/>
                    <a:stretch>
                      <a:fillRect/>
                    </a:stretch>
                  </pic:blipFill>
                  <pic:spPr>
                    <a:xfrm>
                      <a:off x="0" y="0"/>
                      <a:ext cx="3161665" cy="2030095"/>
                    </a:xfrm>
                    <a:prstGeom prst="rect">
                      <a:avLst/>
                    </a:prstGeom>
                    <a:noFill/>
                    <a:ln>
                      <a:noFill/>
                    </a:ln>
                  </pic:spPr>
                </pic:pic>
              </a:graphicData>
            </a:graphic>
          </wp:inline>
        </w:drawing>
      </w:r>
      <w:r>
        <w:drawing>
          <wp:inline distT="0" distB="0" distL="114300" distR="114300">
            <wp:extent cx="2505075" cy="2237740"/>
            <wp:effectExtent l="0" t="0" r="9525" b="228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1"/>
                    <a:stretch>
                      <a:fillRect/>
                    </a:stretch>
                  </pic:blipFill>
                  <pic:spPr>
                    <a:xfrm>
                      <a:off x="0" y="0"/>
                      <a:ext cx="2505075" cy="2237740"/>
                    </a:xfrm>
                    <a:prstGeom prst="rect">
                      <a:avLst/>
                    </a:prstGeom>
                    <a:noFill/>
                    <a:ln>
                      <a:noFill/>
                    </a:ln>
                  </pic:spPr>
                </pic:pic>
              </a:graphicData>
            </a:graphic>
          </wp:inline>
        </w:drawing>
      </w:r>
    </w:p>
    <w:p w14:paraId="6CA0DF23">
      <w:pPr>
        <w:ind w:left="0" w:leftChars="0" w:firstLine="0" w:firstLineChars="0"/>
        <w:jc w:val="center"/>
        <w:rPr>
          <w:rFonts w:hint="default"/>
          <w:sz w:val="18"/>
          <w:szCs w:val="18"/>
          <w:lang w:val="en-US" w:eastAsia="zh-CN"/>
        </w:rPr>
      </w:pPr>
      <w:r>
        <w:rPr>
          <w:rFonts w:hint="eastAsia" w:ascii="宋体" w:hAnsi="宋体" w:eastAsia="宋体" w:cs="宋体"/>
          <w:sz w:val="18"/>
          <w:szCs w:val="18"/>
          <w:highlight w:val="none"/>
        </w:rPr>
        <w:t xml:space="preserve">图 </w:t>
      </w:r>
      <w:r>
        <w:rPr>
          <w:rFonts w:hint="eastAsia" w:ascii="宋体" w:hAnsi="宋体" w:eastAsia="宋体" w:cs="宋体"/>
          <w:sz w:val="18"/>
          <w:szCs w:val="18"/>
          <w:highlight w:val="none"/>
          <w:lang w:val="en-US" w:eastAsia="zh-CN"/>
        </w:rPr>
        <w:t>2</w:t>
      </w:r>
      <w:r>
        <w:rPr>
          <w:rFonts w:hint="eastAsia" w:ascii="宋体" w:hAnsi="宋体" w:eastAsia="宋体" w:cs="宋体"/>
          <w:sz w:val="18"/>
          <w:szCs w:val="18"/>
          <w:highlight w:val="none"/>
          <w:lang w:eastAsia="zh-CN"/>
        </w:rPr>
        <w:t>-</w:t>
      </w:r>
      <w:r>
        <w:rPr>
          <w:rFonts w:hint="eastAsia" w:ascii="宋体" w:hAnsi="宋体" w:eastAsia="宋体" w:cs="宋体"/>
          <w:sz w:val="18"/>
          <w:szCs w:val="18"/>
          <w:highlight w:val="none"/>
          <w:lang w:val="en-US" w:eastAsia="zh-CN"/>
        </w:rPr>
        <w:t>1 生成试题示例</w:t>
      </w:r>
      <w:r>
        <w:rPr>
          <w:rFonts w:hint="eastAsia"/>
          <w:sz w:val="18"/>
          <w:szCs w:val="18"/>
          <w:lang w:val="en-US" w:eastAsia="zh-CN"/>
        </w:rPr>
        <w:t>——通义千问</w:t>
      </w:r>
    </w:p>
    <w:p w14:paraId="06201728">
      <w:pPr>
        <w:pStyle w:val="12"/>
        <w:keepNext w:val="0"/>
        <w:keepLines w:val="0"/>
        <w:widowControl/>
        <w:numPr>
          <w:ilvl w:val="0"/>
          <w:numId w:val="21"/>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题库输出与教学平台接入</w:t>
      </w:r>
    </w:p>
    <w:p w14:paraId="623D1B96">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通义千问可将题目自动输出为Word、Excel或Markdown格式，适配多种教学系统，如智慧树、超星泛雅、雨课堂等平台。建议教师按照如下结构导出：</w:t>
      </w:r>
    </w:p>
    <w:p w14:paraId="2E38E98F">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default" w:ascii="Arial" w:hAnsi="Arial" w:eastAsia="黑体" w:cs="Arial"/>
          <w:sz w:val="18"/>
          <w:lang w:val="en-US" w:eastAsia="zh-CN" w:bidi="ar-SA"/>
        </w:rPr>
      </w:pPr>
      <w:r>
        <w:rPr>
          <w:rFonts w:hint="eastAsia" w:ascii="Arial" w:hAnsi="Arial" w:eastAsia="黑体" w:cs="Arial"/>
          <w:sz w:val="18"/>
          <w:lang w:val="en-US" w:eastAsia="zh-CN" w:bidi="ar-SA"/>
        </w:rPr>
        <w:t>表2-5  生成题库格式示例</w:t>
      </w:r>
    </w:p>
    <w:tbl>
      <w:tblPr>
        <w:tblStyle w:val="13"/>
        <w:tblW w:w="9126"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20"/>
        <w:gridCol w:w="1521"/>
        <w:gridCol w:w="1521"/>
        <w:gridCol w:w="1521"/>
        <w:gridCol w:w="1522"/>
        <w:gridCol w:w="1521"/>
      </w:tblGrid>
      <w:tr w14:paraId="5EA81C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1372" w:type="dxa"/>
            <w:tcBorders>
              <w:top w:val="single" w:color="000000" w:sz="4" w:space="0"/>
              <w:bottom w:val="single" w:color="auto" w:sz="4" w:space="0"/>
              <w:tl2br w:val="nil"/>
            </w:tcBorders>
            <w:shd w:val="clear" w:color="auto" w:fill="FFFFFF"/>
            <w:vAlign w:val="center"/>
          </w:tcPr>
          <w:p w14:paraId="0C5B80F0">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编号</w:t>
            </w:r>
          </w:p>
        </w:tc>
        <w:tc>
          <w:tcPr>
            <w:tcW w:w="1387" w:type="dxa"/>
            <w:tcBorders>
              <w:top w:val="single" w:color="000000" w:sz="4" w:space="0"/>
              <w:bottom w:val="single" w:color="auto" w:sz="4" w:space="0"/>
            </w:tcBorders>
            <w:shd w:val="clear" w:color="auto" w:fill="FFFFFF"/>
            <w:vAlign w:val="center"/>
          </w:tcPr>
          <w:p w14:paraId="40FDFB2E">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类型</w:t>
            </w:r>
          </w:p>
        </w:tc>
        <w:tc>
          <w:tcPr>
            <w:tcW w:w="1387" w:type="dxa"/>
            <w:tcBorders>
              <w:top w:val="single" w:color="000000" w:sz="4" w:space="0"/>
              <w:bottom w:val="single" w:color="auto" w:sz="4" w:space="0"/>
            </w:tcBorders>
            <w:shd w:val="clear" w:color="auto" w:fill="FFFFFF"/>
            <w:vAlign w:val="center"/>
          </w:tcPr>
          <w:p w14:paraId="5142D607">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题干</w:t>
            </w:r>
          </w:p>
        </w:tc>
        <w:tc>
          <w:tcPr>
            <w:tcW w:w="1387" w:type="dxa"/>
            <w:tcBorders>
              <w:top w:val="single" w:color="000000" w:sz="4" w:space="0"/>
              <w:bottom w:val="single" w:color="auto" w:sz="4" w:space="0"/>
            </w:tcBorders>
            <w:shd w:val="clear" w:color="auto" w:fill="FFFFFF"/>
            <w:vAlign w:val="center"/>
          </w:tcPr>
          <w:p w14:paraId="4EC700F9">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选项</w:t>
            </w:r>
          </w:p>
        </w:tc>
        <w:tc>
          <w:tcPr>
            <w:tcW w:w="1387" w:type="dxa"/>
            <w:tcBorders>
              <w:top w:val="single" w:color="000000" w:sz="4" w:space="0"/>
              <w:bottom w:val="single" w:color="auto" w:sz="4" w:space="0"/>
            </w:tcBorders>
            <w:shd w:val="clear" w:color="auto" w:fill="FFFFFF"/>
            <w:vAlign w:val="center"/>
          </w:tcPr>
          <w:p w14:paraId="5C09ADF9">
            <w:pPr>
              <w:keepNext w:val="0"/>
              <w:keepLines w:val="0"/>
              <w:widowControl/>
              <w:suppressLineNumbers w:val="0"/>
              <w:ind w:left="0" w:leftChars="0" w:firstLine="0" w:firstLineChars="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正确答案</w:t>
            </w:r>
          </w:p>
        </w:tc>
        <w:tc>
          <w:tcPr>
            <w:tcW w:w="1372" w:type="dxa"/>
            <w:tcBorders>
              <w:top w:val="single" w:color="000000" w:sz="4" w:space="0"/>
              <w:bottom w:val="single" w:color="auto" w:sz="4" w:space="0"/>
            </w:tcBorders>
            <w:shd w:val="clear" w:color="auto" w:fill="FFFFFF"/>
            <w:vAlign w:val="center"/>
          </w:tcPr>
          <w:p w14:paraId="4F985EFE">
            <w:pPr>
              <w:keepNext w:val="0"/>
              <w:keepLines w:val="0"/>
              <w:widowControl/>
              <w:suppressLineNumbers w:val="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解析</w:t>
            </w:r>
          </w:p>
        </w:tc>
      </w:tr>
      <w:tr w14:paraId="0BC6C6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372" w:type="dxa"/>
            <w:shd w:val="clear" w:color="auto" w:fill="FFFFFF"/>
            <w:vAlign w:val="center"/>
          </w:tcPr>
          <w:p w14:paraId="17A8E64F">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Q1</w:t>
            </w:r>
          </w:p>
        </w:tc>
        <w:tc>
          <w:tcPr>
            <w:tcW w:w="1387" w:type="dxa"/>
            <w:shd w:val="clear" w:color="auto" w:fill="FFFFFF"/>
            <w:vAlign w:val="center"/>
          </w:tcPr>
          <w:p w14:paraId="33F9BBE6">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单选</w:t>
            </w:r>
          </w:p>
        </w:tc>
        <w:tc>
          <w:tcPr>
            <w:tcW w:w="1387" w:type="dxa"/>
            <w:shd w:val="clear" w:color="auto" w:fill="FFFFFF"/>
            <w:vAlign w:val="center"/>
          </w:tcPr>
          <w:p w14:paraId="7F28CCEC">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w:t>
            </w:r>
          </w:p>
        </w:tc>
        <w:tc>
          <w:tcPr>
            <w:tcW w:w="1387" w:type="dxa"/>
            <w:shd w:val="clear" w:color="auto" w:fill="FFFFFF"/>
            <w:vAlign w:val="center"/>
          </w:tcPr>
          <w:p w14:paraId="6361C6A4">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A/B/C/D</w:t>
            </w:r>
          </w:p>
        </w:tc>
        <w:tc>
          <w:tcPr>
            <w:tcW w:w="1387" w:type="dxa"/>
            <w:shd w:val="clear" w:color="auto" w:fill="FFFFFF"/>
            <w:vAlign w:val="center"/>
          </w:tcPr>
          <w:p w14:paraId="5B3F7B2B">
            <w:pPr>
              <w:keepNext w:val="0"/>
              <w:keepLines w:val="0"/>
              <w:widowControl/>
              <w:suppressLineNumbers w:val="0"/>
              <w:ind w:left="0" w:leftChars="0" w:firstLine="0" w:firstLineChars="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C</w:t>
            </w:r>
          </w:p>
        </w:tc>
        <w:tc>
          <w:tcPr>
            <w:tcW w:w="1372" w:type="dxa"/>
            <w:shd w:val="clear" w:color="auto" w:fill="FFFFFF"/>
            <w:vAlign w:val="center"/>
          </w:tcPr>
          <w:p w14:paraId="17D4C8C7">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w:t>
            </w:r>
          </w:p>
        </w:tc>
      </w:tr>
      <w:tr w14:paraId="3E2EE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372" w:type="dxa"/>
            <w:shd w:val="clear" w:color="auto" w:fill="FFFFFF"/>
            <w:vAlign w:val="center"/>
          </w:tcPr>
          <w:p w14:paraId="4AA71A8C">
            <w:pPr>
              <w:keepNext w:val="0"/>
              <w:keepLines w:val="0"/>
              <w:widowControl/>
              <w:suppressLineNumbers w:val="0"/>
              <w:jc w:val="center"/>
              <w:rPr>
                <w:rFonts w:hint="default" w:ascii="Times New Roman Regular" w:hAnsi="Times New Roman Regular" w:cs="Times New Roman Regular"/>
                <w:b w:val="0"/>
                <w:color w:val="000000"/>
                <w:sz w:val="21"/>
                <w:szCs w:val="21"/>
                <w:lang w:val="en-US"/>
              </w:rPr>
            </w:pPr>
            <w:r>
              <w:rPr>
                <w:rFonts w:hint="default" w:ascii="Times New Roman Regular" w:hAnsi="Times New Roman Regular" w:eastAsia="宋体" w:cs="Times New Roman Regular"/>
                <w:b w:val="0"/>
                <w:color w:val="000000"/>
                <w:kern w:val="0"/>
                <w:sz w:val="21"/>
                <w:szCs w:val="21"/>
                <w:lang w:val="en-US" w:eastAsia="zh-CN" w:bidi="ar"/>
              </w:rPr>
              <w:t>Q2</w:t>
            </w:r>
          </w:p>
        </w:tc>
        <w:tc>
          <w:tcPr>
            <w:tcW w:w="1387" w:type="dxa"/>
            <w:shd w:val="clear" w:color="auto" w:fill="FFFFFF"/>
            <w:vAlign w:val="center"/>
          </w:tcPr>
          <w:p w14:paraId="18BDFB87">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多选</w:t>
            </w:r>
          </w:p>
        </w:tc>
        <w:tc>
          <w:tcPr>
            <w:tcW w:w="1387" w:type="dxa"/>
            <w:shd w:val="clear" w:color="auto" w:fill="FFFFFF"/>
            <w:vAlign w:val="center"/>
          </w:tcPr>
          <w:p w14:paraId="40237ABB">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w:t>
            </w:r>
          </w:p>
        </w:tc>
        <w:tc>
          <w:tcPr>
            <w:tcW w:w="1387" w:type="dxa"/>
            <w:shd w:val="clear" w:color="auto" w:fill="FFFFFF"/>
            <w:vAlign w:val="center"/>
          </w:tcPr>
          <w:p w14:paraId="1B5E55DE">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A/B/C/D</w:t>
            </w:r>
          </w:p>
        </w:tc>
        <w:tc>
          <w:tcPr>
            <w:tcW w:w="1387" w:type="dxa"/>
            <w:shd w:val="clear" w:color="auto" w:fill="FFFFFF"/>
            <w:vAlign w:val="center"/>
          </w:tcPr>
          <w:p w14:paraId="0B510DA5">
            <w:pPr>
              <w:keepNext w:val="0"/>
              <w:keepLines w:val="0"/>
              <w:widowControl/>
              <w:suppressLineNumbers w:val="0"/>
              <w:ind w:left="0" w:leftChars="0" w:firstLine="0" w:firstLineChars="0"/>
              <w:jc w:val="center"/>
              <w:rPr>
                <w:rFonts w:hint="default" w:ascii="Times New Roman Regular" w:hAnsi="Times New Roman Regular" w:cs="Times New Roman Regular" w:eastAsiaTheme="minorEastAsia"/>
                <w:b w:val="0"/>
                <w:color w:val="000000"/>
                <w:sz w:val="21"/>
                <w:szCs w:val="21"/>
                <w:lang w:val="en-US" w:eastAsia="zh-CN"/>
              </w:rPr>
            </w:pPr>
            <w:r>
              <w:rPr>
                <w:rFonts w:hint="default" w:ascii="Times New Roman Regular" w:hAnsi="Times New Roman Regular" w:cs="Times New Roman Regular"/>
                <w:b w:val="0"/>
                <w:color w:val="000000"/>
                <w:sz w:val="21"/>
                <w:szCs w:val="21"/>
                <w:lang w:val="en-US" w:eastAsia="zh-CN"/>
              </w:rPr>
              <w:t>ABD</w:t>
            </w:r>
          </w:p>
        </w:tc>
        <w:tc>
          <w:tcPr>
            <w:tcW w:w="1372" w:type="dxa"/>
            <w:shd w:val="clear" w:color="auto" w:fill="FFFFFF"/>
            <w:vAlign w:val="center"/>
          </w:tcPr>
          <w:p w14:paraId="782D8399">
            <w:pPr>
              <w:keepNext w:val="0"/>
              <w:keepLines w:val="0"/>
              <w:widowControl/>
              <w:suppressLineNumbers w:val="0"/>
              <w:jc w:val="center"/>
              <w:rPr>
                <w:rFonts w:hint="default" w:ascii="Times New Roman Regular" w:hAnsi="Times New Roman Regular" w:cs="Times New Roman Regular"/>
                <w:b w:val="0"/>
                <w:color w:val="000000"/>
                <w:sz w:val="21"/>
                <w:szCs w:val="21"/>
              </w:rPr>
            </w:pPr>
            <w:r>
              <w:rPr>
                <w:rFonts w:hint="default" w:ascii="Times New Roman Regular" w:hAnsi="Times New Roman Regular" w:eastAsia="宋体" w:cs="Times New Roman Regular"/>
                <w:b w:val="0"/>
                <w:color w:val="000000"/>
                <w:kern w:val="0"/>
                <w:sz w:val="21"/>
                <w:szCs w:val="21"/>
                <w:lang w:val="en-US" w:eastAsia="zh-CN" w:bidi="ar"/>
              </w:rPr>
              <w:t>……</w:t>
            </w:r>
          </w:p>
        </w:tc>
      </w:tr>
      <w:tr w14:paraId="3A8B40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1372" w:type="dxa"/>
            <w:tcBorders>
              <w:bottom w:val="single" w:color="000000" w:sz="4" w:space="0"/>
            </w:tcBorders>
            <w:shd w:val="clear" w:color="auto" w:fill="FFFFFF"/>
            <w:vAlign w:val="center"/>
          </w:tcPr>
          <w:p w14:paraId="0ADBB3F8">
            <w:pPr>
              <w:keepNext w:val="0"/>
              <w:keepLines w:val="0"/>
              <w:widowControl/>
              <w:suppressLineNumbers w:val="0"/>
              <w:ind w:firstLine="420" w:firstLineChars="20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Q3</w:t>
            </w:r>
          </w:p>
        </w:tc>
        <w:tc>
          <w:tcPr>
            <w:tcW w:w="1387" w:type="dxa"/>
            <w:tcBorders>
              <w:bottom w:val="single" w:color="000000" w:sz="4" w:space="0"/>
            </w:tcBorders>
            <w:shd w:val="clear" w:color="auto" w:fill="FFFFFF"/>
            <w:vAlign w:val="center"/>
          </w:tcPr>
          <w:p w14:paraId="6AED9B7E">
            <w:pPr>
              <w:keepNext w:val="0"/>
              <w:keepLines w:val="0"/>
              <w:widowControl/>
              <w:suppressLineNumbers w:val="0"/>
              <w:ind w:firstLine="420" w:firstLineChars="20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判断</w:t>
            </w:r>
          </w:p>
        </w:tc>
        <w:tc>
          <w:tcPr>
            <w:tcW w:w="1387" w:type="dxa"/>
            <w:tcBorders>
              <w:bottom w:val="single" w:color="000000" w:sz="4" w:space="0"/>
            </w:tcBorders>
            <w:shd w:val="clear" w:color="auto" w:fill="FFFFFF"/>
            <w:vAlign w:val="center"/>
          </w:tcPr>
          <w:p w14:paraId="10CBAE27">
            <w:pPr>
              <w:keepNext w:val="0"/>
              <w:keepLines w:val="0"/>
              <w:widowControl/>
              <w:suppressLineNumbers w:val="0"/>
              <w:ind w:firstLine="420" w:firstLineChars="20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w:t>
            </w:r>
          </w:p>
        </w:tc>
        <w:tc>
          <w:tcPr>
            <w:tcW w:w="1387" w:type="dxa"/>
            <w:tcBorders>
              <w:bottom w:val="single" w:color="000000" w:sz="4" w:space="0"/>
            </w:tcBorders>
            <w:shd w:val="clear" w:color="auto" w:fill="FFFFFF"/>
            <w:vAlign w:val="center"/>
          </w:tcPr>
          <w:p w14:paraId="1E1E5355">
            <w:pPr>
              <w:keepNext w:val="0"/>
              <w:keepLines w:val="0"/>
              <w:widowControl/>
              <w:suppressLineNumbers w:val="0"/>
              <w:ind w:firstLine="420" w:firstLineChars="20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T/ F</w:t>
            </w:r>
          </w:p>
        </w:tc>
        <w:tc>
          <w:tcPr>
            <w:tcW w:w="1387" w:type="dxa"/>
            <w:tcBorders>
              <w:bottom w:val="single" w:color="000000" w:sz="4" w:space="0"/>
            </w:tcBorders>
            <w:shd w:val="clear" w:color="auto" w:fill="FFFFFF"/>
            <w:vAlign w:val="center"/>
          </w:tcPr>
          <w:p w14:paraId="5842DB68">
            <w:pPr>
              <w:keepNext w:val="0"/>
              <w:keepLines w:val="0"/>
              <w:widowControl/>
              <w:suppressLineNumbers w:val="0"/>
              <w:ind w:left="0" w:leftChars="0" w:firstLine="0" w:firstLineChars="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T</w:t>
            </w:r>
          </w:p>
        </w:tc>
        <w:tc>
          <w:tcPr>
            <w:tcW w:w="1372" w:type="dxa"/>
            <w:tcBorders>
              <w:bottom w:val="single" w:color="000000" w:sz="4" w:space="0"/>
            </w:tcBorders>
            <w:shd w:val="clear" w:color="auto" w:fill="FFFFFF"/>
            <w:vAlign w:val="center"/>
          </w:tcPr>
          <w:p w14:paraId="5EAACE2C">
            <w:pPr>
              <w:keepNext w:val="0"/>
              <w:keepLines w:val="0"/>
              <w:widowControl/>
              <w:suppressLineNumbers w:val="0"/>
              <w:ind w:firstLine="420" w:firstLineChars="200"/>
              <w:jc w:val="center"/>
              <w:rPr>
                <w:rFonts w:hint="default" w:ascii="Times New Roman Regular" w:hAnsi="Times New Roman Regular" w:eastAsia="宋体" w:cs="Times New Roman Regular"/>
                <w:b w:val="0"/>
                <w:color w:val="000000"/>
                <w:kern w:val="0"/>
                <w:sz w:val="21"/>
                <w:szCs w:val="21"/>
                <w:lang w:val="en-US" w:eastAsia="zh-CN" w:bidi="ar"/>
              </w:rPr>
            </w:pPr>
            <w:r>
              <w:rPr>
                <w:rFonts w:hint="default" w:ascii="Times New Roman Regular" w:hAnsi="Times New Roman Regular" w:eastAsia="宋体" w:cs="Times New Roman Regular"/>
                <w:b w:val="0"/>
                <w:color w:val="000000"/>
                <w:kern w:val="0"/>
                <w:sz w:val="21"/>
                <w:szCs w:val="21"/>
                <w:lang w:val="en-US" w:eastAsia="zh-CN" w:bidi="ar"/>
              </w:rPr>
              <w:t>……</w:t>
            </w:r>
          </w:p>
        </w:tc>
      </w:tr>
    </w:tbl>
    <w:p w14:paraId="0EC79A5B">
      <w:pPr>
        <w:pStyle w:val="12"/>
        <w:keepNext w:val="0"/>
        <w:keepLines w:val="0"/>
        <w:widowControl/>
        <w:suppressLineNumbers w:val="0"/>
        <w:rPr>
          <w:sz w:val="21"/>
          <w:szCs w:val="21"/>
        </w:rPr>
      </w:pPr>
      <w:r>
        <w:rPr>
          <w:rFonts w:hint="eastAsia"/>
          <w:sz w:val="21"/>
          <w:szCs w:val="21"/>
          <w:lang w:val="en-US" w:eastAsia="zh-CN"/>
        </w:rPr>
        <w:t>备注：</w:t>
      </w:r>
      <w:r>
        <w:rPr>
          <w:sz w:val="21"/>
          <w:szCs w:val="21"/>
        </w:rPr>
        <w:t>可配套字段标记（如难度等级、知识点标签），便于系统化题库管理与长期积累。</w:t>
      </w:r>
    </w:p>
    <w:p w14:paraId="6D458D21">
      <w:pPr>
        <w:pStyle w:val="12"/>
        <w:keepNext w:val="0"/>
        <w:keepLines w:val="0"/>
        <w:widowControl/>
        <w:numPr>
          <w:ilvl w:val="0"/>
          <w:numId w:val="21"/>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教学建议与使用说明</w:t>
      </w:r>
    </w:p>
    <w:p w14:paraId="3CC6C6B7">
      <w:pPr>
        <w:pStyle w:val="12"/>
        <w:keepNext w:val="0"/>
        <w:keepLines w:val="0"/>
        <w:pageBreakBefore w:val="0"/>
        <w:widowControl/>
        <w:suppressLineNumbers w:val="0"/>
        <w:kinsoku/>
        <w:wordWrap/>
        <w:overflowPunct/>
        <w:topLinePunct w:val="0"/>
        <w:autoSpaceDE/>
        <w:autoSpaceDN/>
        <w:bidi w:val="0"/>
        <w:adjustRightInd/>
        <w:snapToGrid/>
        <w:spacing w:beforeAutospacing="0" w:afterAutospacing="0" w:line="332" w:lineRule="exact"/>
        <w:ind w:firstLine="360" w:firstLineChars="200"/>
        <w:jc w:val="center"/>
        <w:textAlignment w:val="auto"/>
        <w:rPr>
          <w:rFonts w:hint="default" w:ascii="宋体" w:hAnsi="宋体" w:eastAsia="宋体" w:cs="宋体"/>
          <w:kern w:val="0"/>
          <w:sz w:val="21"/>
          <w:szCs w:val="21"/>
          <w:lang w:val="en-US" w:eastAsia="zh-CN" w:bidi="ar"/>
        </w:rPr>
      </w:pPr>
      <w:r>
        <w:rPr>
          <w:rFonts w:hint="eastAsia" w:ascii="Arial" w:hAnsi="Arial" w:eastAsia="黑体" w:cs="Arial"/>
          <w:sz w:val="18"/>
          <w:lang w:val="en-US" w:eastAsia="zh-CN" w:bidi="ar-SA"/>
        </w:rPr>
        <w:t>表2-6  教学各阶段安排建议</w:t>
      </w:r>
    </w:p>
    <w:tbl>
      <w:tblPr>
        <w:tblStyle w:val="13"/>
        <w:tblW w:w="8561"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4"/>
        <w:gridCol w:w="6917"/>
      </w:tblGrid>
      <w:tr w14:paraId="54561B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1599" w:type="dxa"/>
            <w:tcBorders>
              <w:top w:val="single" w:color="000000" w:sz="4" w:space="0"/>
              <w:bottom w:val="single" w:color="auto" w:sz="4" w:space="0"/>
              <w:right w:val="single" w:color="auto" w:sz="4" w:space="0"/>
              <w:tl2br w:val="nil"/>
            </w:tcBorders>
            <w:shd w:val="clear" w:color="auto" w:fill="FFFFFF"/>
            <w:vAlign w:val="center"/>
          </w:tcPr>
          <w:p w14:paraId="56BACE94">
            <w:pPr>
              <w:keepNext w:val="0"/>
              <w:keepLines w:val="0"/>
              <w:widowControl/>
              <w:suppressLineNumbers w:val="0"/>
              <w:ind w:left="0" w:leftChars="0" w:firstLine="0" w:firstLineChars="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建议</w:t>
            </w:r>
          </w:p>
        </w:tc>
        <w:tc>
          <w:tcPr>
            <w:tcW w:w="6872" w:type="dxa"/>
            <w:tcBorders>
              <w:top w:val="single" w:color="000000" w:sz="4" w:space="0"/>
              <w:bottom w:val="single" w:color="auto" w:sz="4" w:space="0"/>
            </w:tcBorders>
            <w:shd w:val="clear" w:color="auto" w:fill="FFFFFF"/>
            <w:vAlign w:val="center"/>
          </w:tcPr>
          <w:p w14:paraId="21A4DC34">
            <w:pPr>
              <w:keepNext w:val="0"/>
              <w:keepLines w:val="0"/>
              <w:widowControl/>
              <w:suppressLineNumbers w:val="0"/>
              <w:ind w:left="0" w:leftChars="0" w:firstLine="0" w:firstLineChars="0"/>
              <w:jc w:val="center"/>
              <w:rPr>
                <w:rFonts w:hint="eastAsia" w:ascii="黑体" w:hAnsi="黑体" w:eastAsia="黑体" w:cs="黑体"/>
                <w:b w:val="0"/>
                <w:bCs/>
                <w:color w:val="000000"/>
                <w:sz w:val="21"/>
                <w:szCs w:val="21"/>
              </w:rPr>
            </w:pPr>
            <w:r>
              <w:rPr>
                <w:rFonts w:hint="eastAsia" w:ascii="黑体" w:hAnsi="黑体" w:eastAsia="黑体" w:cs="黑体"/>
                <w:b w:val="0"/>
                <w:bCs/>
                <w:color w:val="000000"/>
                <w:kern w:val="0"/>
                <w:sz w:val="21"/>
                <w:szCs w:val="21"/>
                <w:lang w:val="en-US" w:eastAsia="zh-CN" w:bidi="ar"/>
              </w:rPr>
              <w:t>说明</w:t>
            </w:r>
          </w:p>
        </w:tc>
      </w:tr>
      <w:tr w14:paraId="5DE7EE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599" w:type="dxa"/>
            <w:tcBorders>
              <w:right w:val="single" w:color="auto" w:sz="4" w:space="0"/>
            </w:tcBorders>
            <w:shd w:val="clear" w:color="auto" w:fill="FFFFFF"/>
            <w:vAlign w:val="center"/>
          </w:tcPr>
          <w:p w14:paraId="1BDAFE8C">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教学前预热</w:t>
            </w:r>
          </w:p>
        </w:tc>
        <w:tc>
          <w:tcPr>
            <w:tcW w:w="6872" w:type="dxa"/>
            <w:shd w:val="clear" w:color="auto" w:fill="FFFFFF"/>
            <w:vAlign w:val="center"/>
          </w:tcPr>
          <w:p w14:paraId="2FE84C80">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可用判断题快速测试学生背景知识</w:t>
            </w:r>
          </w:p>
        </w:tc>
      </w:tr>
      <w:tr w14:paraId="058AB4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599" w:type="dxa"/>
            <w:tcBorders>
              <w:right w:val="single" w:color="auto" w:sz="4" w:space="0"/>
            </w:tcBorders>
            <w:shd w:val="clear" w:color="auto" w:fill="FFFFFF"/>
            <w:vAlign w:val="center"/>
          </w:tcPr>
          <w:p w14:paraId="127D10A5">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课堂中插入</w:t>
            </w:r>
          </w:p>
        </w:tc>
        <w:tc>
          <w:tcPr>
            <w:tcW w:w="6872" w:type="dxa"/>
            <w:shd w:val="clear" w:color="auto" w:fill="FFFFFF"/>
            <w:vAlign w:val="center"/>
          </w:tcPr>
          <w:p w14:paraId="6BABA14E">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利用AIGC生成即时小测题，提高课堂互动</w:t>
            </w:r>
          </w:p>
        </w:tc>
      </w:tr>
      <w:tr w14:paraId="0AD02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599" w:type="dxa"/>
            <w:tcBorders>
              <w:right w:val="single" w:color="auto" w:sz="4" w:space="0"/>
            </w:tcBorders>
            <w:shd w:val="clear" w:color="auto" w:fill="FFFFFF"/>
            <w:vAlign w:val="center"/>
          </w:tcPr>
          <w:p w14:paraId="59CA5345">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课后任务</w:t>
            </w:r>
          </w:p>
        </w:tc>
        <w:tc>
          <w:tcPr>
            <w:tcW w:w="6872" w:type="dxa"/>
            <w:shd w:val="clear" w:color="auto" w:fill="FFFFFF"/>
            <w:vAlign w:val="center"/>
          </w:tcPr>
          <w:p w14:paraId="4ADCB8EA">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引导学生用简答题或分析题展开深度思考</w:t>
            </w:r>
          </w:p>
        </w:tc>
      </w:tr>
      <w:tr w14:paraId="52BC51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599" w:type="dxa"/>
            <w:tcBorders>
              <w:bottom w:val="single" w:color="000000" w:sz="4" w:space="0"/>
              <w:right w:val="single" w:color="auto" w:sz="4" w:space="0"/>
            </w:tcBorders>
            <w:shd w:val="clear" w:color="auto" w:fill="FFFFFF"/>
            <w:vAlign w:val="center"/>
          </w:tcPr>
          <w:p w14:paraId="67181CDE">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评价方式</w:t>
            </w:r>
          </w:p>
        </w:tc>
        <w:tc>
          <w:tcPr>
            <w:tcW w:w="6872" w:type="dxa"/>
            <w:tcBorders>
              <w:bottom w:val="single" w:color="000000" w:sz="4" w:space="0"/>
            </w:tcBorders>
            <w:shd w:val="clear" w:color="auto" w:fill="FFFFFF"/>
            <w:vAlign w:val="center"/>
          </w:tcPr>
          <w:p w14:paraId="40A4828C">
            <w:pPr>
              <w:keepNext w:val="0"/>
              <w:keepLines w:val="0"/>
              <w:widowControl/>
              <w:suppressLineNumbers w:val="0"/>
              <w:ind w:left="0" w:leftChars="0" w:firstLine="0" w:firstLineChars="0"/>
              <w:jc w:val="center"/>
              <w:rPr>
                <w:b w:val="0"/>
                <w:color w:val="000000"/>
                <w:sz w:val="21"/>
                <w:szCs w:val="21"/>
              </w:rPr>
            </w:pPr>
            <w:r>
              <w:rPr>
                <w:rFonts w:ascii="宋体" w:hAnsi="宋体" w:eastAsia="宋体" w:cs="宋体"/>
                <w:b w:val="0"/>
                <w:color w:val="000000"/>
                <w:kern w:val="0"/>
                <w:sz w:val="21"/>
                <w:szCs w:val="21"/>
                <w:lang w:val="en-US" w:eastAsia="zh-CN" w:bidi="ar"/>
              </w:rPr>
              <w:t>可参考“知识层—能力层—价值层”三维评价指标体系设置题目难度梯度</w:t>
            </w:r>
          </w:p>
        </w:tc>
      </w:tr>
    </w:tbl>
    <w:p w14:paraId="08B4B1CC">
      <w:pPr>
        <w:widowControl w:val="0"/>
        <w:adjustRightInd/>
        <w:spacing w:line="332" w:lineRule="atLeast"/>
        <w:ind w:left="0" w:leftChars="0" w:firstLine="0" w:firstLineChars="0"/>
        <w:jc w:val="both"/>
        <w:textAlignment w:val="auto"/>
        <w:rPr>
          <w:rFonts w:hint="eastAsia" w:ascii="Times New Roman" w:hAnsi="Times New Roman" w:eastAsia="宋体" w:cs="Times New Roman"/>
          <w:kern w:val="2"/>
          <w:sz w:val="21"/>
          <w:lang w:val="en-US" w:eastAsia="zh-CN" w:bidi="ar-SA"/>
        </w:rPr>
      </w:pPr>
    </w:p>
    <w:p w14:paraId="14C29359">
      <w:pPr>
        <w:pStyle w:val="12"/>
        <w:keepNext w:val="0"/>
        <w:keepLines w:val="0"/>
        <w:widowControl/>
        <w:suppressLineNumbers w:val="0"/>
        <w:ind w:left="0" w:leftChars="0" w:firstLine="280" w:firstLineChars="100"/>
        <w:rPr>
          <w:rFonts w:hint="eastAsia" w:ascii="Times New Roman" w:hAnsi="Times New Roman" w:eastAsia="宋体" w:cs="Times New Roman"/>
          <w:kern w:val="2"/>
          <w:sz w:val="21"/>
          <w:lang w:val="en-US" w:eastAsia="zh-CN" w:bidi="ar-SA"/>
        </w:rPr>
      </w:pPr>
      <w:r>
        <w:rPr>
          <w:rFonts w:hint="eastAsia" w:ascii="Arial" w:hAnsi="Arial" w:eastAsia="黑体" w:cs="Arial"/>
          <w:b w:val="0"/>
          <w:bCs/>
          <w:kern w:val="0"/>
          <w:sz w:val="28"/>
          <w:szCs w:val="27"/>
          <w:lang w:val="en-US" w:eastAsia="zh-CN" w:bidi="he-IL"/>
        </w:rPr>
        <w:t>2.5.5 教学资料包输出与发布</w:t>
      </w:r>
    </w:p>
    <w:p w14:paraId="207EFD4A">
      <w:pPr>
        <w:pStyle w:val="12"/>
        <w:keepNext w:val="0"/>
        <w:keepLines w:val="0"/>
        <w:widowControl/>
        <w:suppressLineNumbers w:val="0"/>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在完成教案、案例正文、题库及课堂活动设计后，教师需要将各类教学资源整合打包，便于课程的实施和共享。借助AIGC工具，尤其是WPS AI、豆包办公助手、讯飞星火和通义千问等多功能平台，教师可以在极短时间内完成Word教案、PPT课件、PDF案例、Excel题库等多格式教学资料的一键输出，并适配主流教学平台（如雨课堂、超星泛雅、智慧树、钉钉教育版等）。</w:t>
      </w:r>
    </w:p>
    <w:p w14:paraId="36B0BF80">
      <w:pPr>
        <w:pStyle w:val="12"/>
        <w:keepNext w:val="0"/>
        <w:keepLines w:val="0"/>
        <w:widowControl/>
        <w:numPr>
          <w:ilvl w:val="0"/>
          <w:numId w:val="23"/>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整合生成的逻辑流程</w:t>
      </w:r>
    </w:p>
    <w:p w14:paraId="697D280E">
      <w:pPr>
        <w:pStyle w:val="12"/>
        <w:keepNext w:val="0"/>
        <w:keepLines w:val="0"/>
        <w:widowControl/>
        <w:suppressLineNumbers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结合本案例，完整的教学资料包可通过以下步骤生成：</w:t>
      </w:r>
    </w:p>
    <w:p w14:paraId="3D078FBE">
      <w:pPr>
        <w:pStyle w:val="12"/>
        <w:keepNext w:val="0"/>
        <w:keepLines w:val="0"/>
        <w:widowControl/>
        <w:suppressLineNumbers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 素材准备</w:t>
      </w:r>
    </w:p>
    <w:p w14:paraId="4E6F41D0">
      <w:pPr>
        <w:pStyle w:val="12"/>
        <w:keepNext w:val="0"/>
        <w:keepLines w:val="0"/>
        <w:widowControl/>
        <w:numPr>
          <w:ilvl w:val="0"/>
          <w:numId w:val="24"/>
        </w:numPr>
        <w:suppressLineNumbers w:val="0"/>
        <w:ind w:left="840" w:leftChars="0" w:hanging="420" w:firstLineChars="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教案（Word格式）：来自讯飞星火自动生成的课程结构与教学逻辑规划结果；</w:t>
      </w:r>
    </w:p>
    <w:p w14:paraId="4FA75EF8">
      <w:pPr>
        <w:pStyle w:val="12"/>
        <w:keepNext w:val="0"/>
        <w:keepLines w:val="0"/>
        <w:widowControl/>
        <w:numPr>
          <w:ilvl w:val="0"/>
          <w:numId w:val="24"/>
        </w:numPr>
        <w:suppressLineNumbers w:val="0"/>
        <w:ind w:left="840" w:leftChars="0" w:hanging="420" w:firstLineChars="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案例正文（PDF格式）：由智谱清言撰写并人工校对的教学案例；</w:t>
      </w:r>
    </w:p>
    <w:p w14:paraId="71EC8AAF">
      <w:pPr>
        <w:pStyle w:val="12"/>
        <w:keepNext w:val="0"/>
        <w:keepLines w:val="0"/>
        <w:widowControl/>
        <w:numPr>
          <w:ilvl w:val="0"/>
          <w:numId w:val="24"/>
        </w:numPr>
        <w:suppressLineNumbers w:val="0"/>
        <w:ind w:left="840" w:leftChars="0" w:hanging="420" w:firstLineChars="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题库（Excel格式）：通过通义千问批量生成的多类型题目；</w:t>
      </w:r>
    </w:p>
    <w:p w14:paraId="5F20E04A">
      <w:pPr>
        <w:pStyle w:val="12"/>
        <w:keepNext w:val="0"/>
        <w:keepLines w:val="0"/>
        <w:widowControl/>
        <w:numPr>
          <w:ilvl w:val="0"/>
          <w:numId w:val="24"/>
        </w:numPr>
        <w:suppressLineNumbers w:val="0"/>
        <w:ind w:left="840" w:leftChars="0" w:hanging="420" w:firstLineChars="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PPT课件（PPTX格式）：由WPS AI或iSlide AI根据教案与案例文本快速排版输出。</w:t>
      </w:r>
    </w:p>
    <w:p w14:paraId="7C1FC0F0">
      <w:pPr>
        <w:pStyle w:val="12"/>
        <w:keepNext w:val="0"/>
        <w:keepLines w:val="0"/>
        <w:widowControl/>
        <w:suppressLineNumbers w:val="0"/>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2. 平台整合：将上述素材按模块导入豆包办公助手，使用其“批量整合生成”功能，自动生成“教学资料目录+链接索引页”，实现统一管理；教师也可在WPS AI工作台中直接一键导出完整教学资源包，支持“压缩包模式（。zip）”与“在线发布模式（生成访问链接）”两种。</w:t>
      </w:r>
    </w:p>
    <w:p w14:paraId="1B86354A">
      <w:pPr>
        <w:pStyle w:val="12"/>
        <w:keepNext w:val="0"/>
        <w:keepLines w:val="0"/>
        <w:widowControl/>
        <w:numPr>
          <w:ilvl w:val="0"/>
          <w:numId w:val="23"/>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输出格式设计与示例</w:t>
      </w:r>
    </w:p>
    <w:p w14:paraId="620DBC45">
      <w:pPr>
        <w:pStyle w:val="12"/>
        <w:keepNext w:val="0"/>
        <w:keepLines w:val="0"/>
        <w:widowControl/>
        <w:suppressLineNumbers w:val="0"/>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以下为推荐的“教学资料包”结构设计及典型文件示例：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6"/>
      </w:tblGrid>
      <w:tr w14:paraId="72CFC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86" w:type="dxa"/>
            <w:tcBorders>
              <w:top w:val="single" w:color="000000" w:sz="4" w:space="0"/>
              <w:left w:val="nil"/>
              <w:right w:val="nil"/>
              <w:tl2br w:val="nil"/>
            </w:tcBorders>
            <w:shd w:val="clear" w:color="auto" w:fill="FFFFFF"/>
          </w:tcPr>
          <w:p w14:paraId="4DC01B5C">
            <w:pPr>
              <w:rPr>
                <w:rFonts w:hint="eastAsia"/>
                <w:lang w:val="en-US" w:eastAsia="zh-CN"/>
              </w:rPr>
            </w:pPr>
            <w:r>
              <w:rPr>
                <w:rFonts w:hint="eastAsia"/>
                <w:lang w:val="en-US" w:eastAsia="zh-CN"/>
              </w:rPr>
              <w:t>├── 1_教案（Word）</w:t>
            </w:r>
          </w:p>
          <w:p w14:paraId="4614B0B8">
            <w:pPr>
              <w:rPr>
                <w:rFonts w:hint="eastAsia"/>
                <w:lang w:val="en-US" w:eastAsia="zh-CN"/>
              </w:rPr>
            </w:pPr>
            <w:r>
              <w:rPr>
                <w:rFonts w:hint="eastAsia"/>
                <w:lang w:val="en-US" w:eastAsia="zh-CN"/>
              </w:rPr>
              <w:t>│     └── 比亚迪价格战_教学设计方案。docx</w:t>
            </w:r>
          </w:p>
          <w:p w14:paraId="6F60069E">
            <w:pPr>
              <w:rPr>
                <w:rFonts w:hint="eastAsia"/>
                <w:lang w:val="en-US" w:eastAsia="zh-CN"/>
              </w:rPr>
            </w:pPr>
            <w:r>
              <w:rPr>
                <w:rFonts w:hint="eastAsia"/>
                <w:lang w:val="en-US" w:eastAsia="zh-CN"/>
              </w:rPr>
              <w:t>├── 2_案例正文（PDF）</w:t>
            </w:r>
          </w:p>
          <w:p w14:paraId="6FA23C58">
            <w:pPr>
              <w:rPr>
                <w:rFonts w:hint="eastAsia"/>
                <w:lang w:val="en-US" w:eastAsia="zh-CN"/>
              </w:rPr>
            </w:pPr>
            <w:r>
              <w:rPr>
                <w:rFonts w:hint="eastAsia"/>
                <w:lang w:val="en-US" w:eastAsia="zh-CN"/>
              </w:rPr>
              <w:t>│     └── 比亚迪价格战_教学案例。pdf</w:t>
            </w:r>
          </w:p>
          <w:p w14:paraId="3483C765">
            <w:pPr>
              <w:rPr>
                <w:rFonts w:hint="eastAsia"/>
                <w:lang w:val="en-US" w:eastAsia="zh-CN"/>
              </w:rPr>
            </w:pPr>
            <w:r>
              <w:rPr>
                <w:rFonts w:hint="eastAsia"/>
                <w:lang w:val="en-US" w:eastAsia="zh-CN"/>
              </w:rPr>
              <w:t>├── 3_PPT课件（PPTX）</w:t>
            </w:r>
          </w:p>
          <w:p w14:paraId="448F753B">
            <w:pPr>
              <w:rPr>
                <w:rFonts w:hint="eastAsia"/>
                <w:lang w:val="en-US" w:eastAsia="zh-CN"/>
              </w:rPr>
            </w:pPr>
            <w:r>
              <w:rPr>
                <w:rFonts w:hint="eastAsia"/>
                <w:lang w:val="en-US" w:eastAsia="zh-CN"/>
              </w:rPr>
              <w:t>│     └── 比亚迪价格战_课程课件。pptx</w:t>
            </w:r>
          </w:p>
          <w:p w14:paraId="697ABEE5">
            <w:pPr>
              <w:rPr>
                <w:rFonts w:hint="eastAsia"/>
                <w:lang w:val="en-US" w:eastAsia="zh-CN"/>
              </w:rPr>
            </w:pPr>
            <w:r>
              <w:rPr>
                <w:rFonts w:hint="eastAsia"/>
                <w:lang w:val="en-US" w:eastAsia="zh-CN"/>
              </w:rPr>
              <w:t>├── 4_题库文件（Excel）</w:t>
            </w:r>
          </w:p>
          <w:p w14:paraId="12D29476">
            <w:pPr>
              <w:rPr>
                <w:rFonts w:hint="eastAsia"/>
                <w:lang w:val="en-US" w:eastAsia="zh-CN"/>
              </w:rPr>
            </w:pPr>
            <w:r>
              <w:rPr>
                <w:rFonts w:hint="eastAsia"/>
                <w:lang w:val="en-US" w:eastAsia="zh-CN"/>
              </w:rPr>
              <w:t>│     └── 比亚迪价格战_教学题库。xlsx</w:t>
            </w:r>
          </w:p>
          <w:p w14:paraId="53AAF041">
            <w:pPr>
              <w:rPr>
                <w:rFonts w:hint="eastAsia"/>
                <w:lang w:val="en-US" w:eastAsia="zh-CN"/>
              </w:rPr>
            </w:pPr>
            <w:r>
              <w:rPr>
                <w:rFonts w:hint="eastAsia"/>
                <w:lang w:val="en-US" w:eastAsia="zh-CN"/>
              </w:rPr>
              <w:t>└── 5_索引页（Markdown或HTML）</w:t>
            </w:r>
          </w:p>
          <w:p w14:paraId="5858CC62">
            <w:pPr>
              <w:rPr>
                <w:rFonts w:hint="eastAsia"/>
                <w:lang w:val="en-US" w:eastAsia="zh-CN"/>
              </w:rPr>
            </w:pPr>
            <w:r>
              <w:rPr>
                <w:rFonts w:hint="eastAsia"/>
                <w:lang w:val="en-US" w:eastAsia="zh-CN"/>
              </w:rPr>
              <w:t xml:space="preserve">      └── README.md / index.html</w:t>
            </w:r>
          </w:p>
        </w:tc>
      </w:tr>
    </w:tbl>
    <w:p w14:paraId="75B4C0B1">
      <w:pPr>
        <w:numPr>
          <w:ilvl w:val="0"/>
          <w:numId w:val="25"/>
        </w:numPr>
        <w:ind w:left="126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Word教案：详细记录教学目标、知识点、重难点、课堂活动安排及思政引导问题，便于教师快速掌握教学逻辑。</w:t>
      </w:r>
    </w:p>
    <w:p w14:paraId="64EA2AC7">
      <w:pPr>
        <w:numPr>
          <w:ilvl w:val="0"/>
          <w:numId w:val="25"/>
        </w:numPr>
        <w:ind w:left="126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PDF案例：包含案例正文、讨论问题链及参考资料，供学生课前阅读和课堂讨论。</w:t>
      </w:r>
    </w:p>
    <w:p w14:paraId="7735F17E">
      <w:pPr>
        <w:numPr>
          <w:ilvl w:val="0"/>
          <w:numId w:val="25"/>
        </w:numPr>
        <w:ind w:left="126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PPT课件：由AIGC自动排版，呈现核心知识图示、案例数据图表及讨论提示。</w:t>
      </w:r>
    </w:p>
    <w:p w14:paraId="3E39EFB6">
      <w:pPr>
        <w:numPr>
          <w:ilvl w:val="0"/>
          <w:numId w:val="25"/>
        </w:numPr>
        <w:ind w:left="126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Excel题库：题目按知识点与题型分类，支持导入各类教学测评系统。</w:t>
      </w:r>
    </w:p>
    <w:p w14:paraId="66AA8AC9">
      <w:pPr>
        <w:numPr>
          <w:ilvl w:val="0"/>
          <w:numId w:val="25"/>
        </w:numPr>
        <w:ind w:left="126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索引页（Markdown/HTML）：自动生成一页资源索引，可直接挂载到教学平台，实现一键访问。</w:t>
      </w:r>
    </w:p>
    <w:p w14:paraId="7F662108">
      <w:pPr>
        <w:pStyle w:val="12"/>
        <w:keepNext w:val="0"/>
        <w:keepLines w:val="0"/>
        <w:widowControl/>
        <w:numPr>
          <w:ilvl w:val="0"/>
          <w:numId w:val="23"/>
        </w:numPr>
        <w:suppressLineNumbers w:val="0"/>
        <w:tabs>
          <w:tab w:val="center" w:pos="4830"/>
        </w:tabs>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发布方式与平台适配</w:t>
      </w:r>
    </w:p>
    <w:p w14:paraId="463A9ADA">
      <w:pPr>
        <w:pStyle w:val="5"/>
        <w:keepNext w:val="0"/>
        <w:keepLines w:val="0"/>
        <w:pageBreakBefore w:val="0"/>
        <w:widowControl/>
        <w:suppressLineNumbers w:val="0"/>
        <w:kinsoku/>
        <w:wordWrap/>
        <w:overflowPunct/>
        <w:topLinePunct w:val="0"/>
        <w:autoSpaceDE/>
        <w:autoSpaceDN/>
        <w:bidi w:val="0"/>
        <w:adjustRightInd w:val="0"/>
        <w:snapToGrid w:val="0"/>
        <w:spacing w:line="332" w:lineRule="exact"/>
        <w:ind w:firstLine="420" w:firstLineChars="200"/>
        <w:textAlignment w:val="auto"/>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1. 教案与案例正文（Word/PDF） —— 讯飞星火 / 豆包</w:t>
      </w:r>
    </w:p>
    <w:p w14:paraId="391BAF52">
      <w:pPr>
        <w:pStyle w:val="12"/>
        <w:keepNext w:val="0"/>
        <w:keepLines w:val="0"/>
        <w:pageBreakBefore w:val="0"/>
        <w:widowControl/>
        <w:numPr>
          <w:ilvl w:val="0"/>
          <w:numId w:val="26"/>
        </w:numPr>
        <w:suppressLineNumbers w:val="0"/>
        <w:kinsoku/>
        <w:wordWrap/>
        <w:overflowPunct/>
        <w:topLinePunct w:val="0"/>
        <w:autoSpaceDE/>
        <w:autoSpaceDN/>
        <w:bidi w:val="0"/>
        <w:adjustRightInd w:val="0"/>
        <w:snapToGrid w:val="0"/>
        <w:spacing w:line="332" w:lineRule="exact"/>
        <w:ind w:left="420" w:leftChars="0" w:firstLine="420" w:firstLineChars="200"/>
        <w:textAlignment w:val="auto"/>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操作步骤</w:t>
      </w:r>
      <w:r>
        <w:rPr>
          <w:rFonts w:hint="eastAsia" w:ascii="宋体" w:hAnsi="宋体" w:eastAsia="宋体" w:cs="宋体"/>
          <w:b w:val="0"/>
          <w:bCs w:val="0"/>
          <w:kern w:val="0"/>
          <w:sz w:val="21"/>
          <w:szCs w:val="21"/>
          <w:lang w:val="en-US" w:eastAsia="zh-CN" w:bidi="ar"/>
        </w:rPr>
        <w:br w:type="textWrapping"/>
      </w:r>
      <w:r>
        <w:rPr>
          <w:rFonts w:hint="eastAsia" w:ascii="宋体" w:hAnsi="宋体" w:eastAsia="宋体" w:cs="宋体"/>
          <w:b w:val="0"/>
          <w:bCs w:val="0"/>
          <w:kern w:val="0"/>
          <w:sz w:val="21"/>
          <w:szCs w:val="21"/>
          <w:lang w:val="en-US" w:eastAsia="zh-CN" w:bidi="ar"/>
        </w:rPr>
        <w:t>1）在讯飞星火中粘贴“教学目标、重难点、节奏安排、思政导向问题”，生成教案草案；</w:t>
      </w:r>
      <w:r>
        <w:rPr>
          <w:rFonts w:hint="eastAsia" w:ascii="宋体" w:hAnsi="宋体" w:eastAsia="宋体" w:cs="宋体"/>
          <w:b w:val="0"/>
          <w:bCs w:val="0"/>
          <w:kern w:val="0"/>
          <w:sz w:val="21"/>
          <w:szCs w:val="21"/>
          <w:lang w:val="en-US" w:eastAsia="zh-CN" w:bidi="ar"/>
        </w:rPr>
        <w:br w:type="textWrapping"/>
      </w:r>
      <w:r>
        <w:rPr>
          <w:rFonts w:hint="eastAsia" w:ascii="宋体" w:hAnsi="宋体" w:eastAsia="宋体" w:cs="宋体"/>
          <w:b w:val="0"/>
          <w:bCs w:val="0"/>
          <w:kern w:val="0"/>
          <w:sz w:val="21"/>
          <w:szCs w:val="21"/>
          <w:lang w:val="en-US" w:eastAsia="zh-CN" w:bidi="ar"/>
        </w:rPr>
        <w:t>2）用豆包进行公文式格式校正（标题级别、编号、缩进、页眉页脚）；</w:t>
      </w:r>
      <w:r>
        <w:rPr>
          <w:rFonts w:hint="eastAsia" w:ascii="宋体" w:hAnsi="宋体" w:eastAsia="宋体" w:cs="宋体"/>
          <w:b w:val="0"/>
          <w:bCs w:val="0"/>
          <w:kern w:val="0"/>
          <w:sz w:val="21"/>
          <w:szCs w:val="21"/>
          <w:lang w:val="en-US" w:eastAsia="zh-CN" w:bidi="ar"/>
        </w:rPr>
        <w:br w:type="textWrapping"/>
      </w:r>
      <w:r>
        <w:rPr>
          <w:rFonts w:hint="eastAsia" w:ascii="宋体" w:hAnsi="宋体" w:eastAsia="宋体" w:cs="宋体"/>
          <w:b w:val="0"/>
          <w:bCs w:val="0"/>
          <w:kern w:val="0"/>
          <w:sz w:val="21"/>
          <w:szCs w:val="21"/>
          <w:lang w:val="en-US" w:eastAsia="zh-CN" w:bidi="ar"/>
        </w:rPr>
        <w:t>3）导出 .docx 并使用WPS或系统打印机导出 .pdf。</w:t>
      </w:r>
    </w:p>
    <w:p w14:paraId="509577BC">
      <w:pPr>
        <w:pStyle w:val="12"/>
        <w:keepNext w:val="0"/>
        <w:keepLines w:val="0"/>
        <w:pageBreakBefore w:val="0"/>
        <w:widowControl/>
        <w:numPr>
          <w:ilvl w:val="0"/>
          <w:numId w:val="27"/>
        </w:numPr>
        <w:suppressLineNumbers w:val="0"/>
        <w:kinsoku/>
        <w:wordWrap/>
        <w:overflowPunct/>
        <w:topLinePunct w:val="0"/>
        <w:autoSpaceDE/>
        <w:autoSpaceDN/>
        <w:bidi w:val="0"/>
        <w:adjustRightInd w:val="0"/>
        <w:snapToGrid w:val="0"/>
        <w:spacing w:line="332" w:lineRule="exact"/>
        <w:ind w:left="420" w:leftChars="0" w:firstLine="420" w:firstLineChars="200"/>
        <w:textAlignment w:val="auto"/>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提示词范式</w:t>
      </w:r>
    </w:p>
    <w:p w14:paraId="13698F87">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420" w:leftChars="200" w:right="720" w:firstLine="420" w:firstLineChars="200"/>
        <w:textAlignment w:val="auto"/>
        <w:rPr>
          <w:rFonts w:hint="eastAsia" w:ascii="黑体" w:hAnsi="黑体" w:eastAsia="黑体" w:cs="黑体"/>
          <w:b w:val="0"/>
          <w:bCs w:val="0"/>
          <w:i/>
          <w:iCs/>
          <w:kern w:val="0"/>
          <w:sz w:val="21"/>
          <w:szCs w:val="21"/>
          <w:lang w:val="en-US" w:eastAsia="zh-CN" w:bidi="ar"/>
        </w:rPr>
      </w:pPr>
      <w:r>
        <w:rPr>
          <w:rFonts w:hint="eastAsia" w:ascii="黑体" w:hAnsi="黑体" w:eastAsia="黑体" w:cs="黑体"/>
          <w:b w:val="0"/>
          <w:bCs w:val="0"/>
          <w:i/>
          <w:iCs/>
          <w:kern w:val="0"/>
          <w:sz w:val="21"/>
          <w:szCs w:val="21"/>
          <w:lang w:val="en-US" w:eastAsia="zh-CN" w:bidi="ar"/>
        </w:rPr>
        <w:t>整合教案：请将以下教学内容整合为一份教案（含：课程信息、三维教学目标、重难点、课堂流程、思政导向问题、课堂活动与作业），采用公文式层级编号与页眉页脚，输出Word可编辑格式。</w:t>
      </w:r>
    </w:p>
    <w:p w14:paraId="76EB4798">
      <w:pPr>
        <w:pStyle w:val="5"/>
        <w:keepNext w:val="0"/>
        <w:keepLines w:val="0"/>
        <w:pageBreakBefore w:val="0"/>
        <w:widowControl/>
        <w:suppressLineNumbers w:val="0"/>
        <w:kinsoku/>
        <w:wordWrap/>
        <w:overflowPunct/>
        <w:topLinePunct w:val="0"/>
        <w:autoSpaceDE/>
        <w:autoSpaceDN/>
        <w:bidi w:val="0"/>
        <w:adjustRightInd w:val="0"/>
        <w:snapToGrid w:val="0"/>
        <w:spacing w:line="332" w:lineRule="exact"/>
        <w:ind w:firstLine="420" w:firstLineChars="200"/>
        <w:textAlignment w:val="auto"/>
        <w:rPr>
          <w:rFonts w:hint="eastAsia" w:ascii="宋体" w:hAnsi="宋体" w:eastAsia="宋体" w:cs="宋体"/>
          <w:b w:val="0"/>
          <w:bCs w:val="0"/>
          <w:kern w:val="0"/>
          <w:sz w:val="21"/>
          <w:szCs w:val="21"/>
          <w:lang w:val="en-US" w:eastAsia="zh-CN" w:bidi="ar"/>
        </w:rPr>
      </w:pPr>
      <w:r>
        <w:rPr>
          <w:rFonts w:hint="eastAsia" w:cs="宋体"/>
          <w:b w:val="0"/>
          <w:bCs w:val="0"/>
          <w:kern w:val="0"/>
          <w:sz w:val="21"/>
          <w:szCs w:val="21"/>
          <w:lang w:val="en-US" w:eastAsia="zh-CN" w:bidi="ar"/>
        </w:rPr>
        <w:t>2</w:t>
      </w:r>
      <w:r>
        <w:rPr>
          <w:rFonts w:hint="eastAsia" w:ascii="宋体" w:hAnsi="宋体" w:eastAsia="宋体" w:cs="宋体"/>
          <w:b w:val="0"/>
          <w:bCs w:val="0"/>
          <w:kern w:val="0"/>
          <w:sz w:val="21"/>
          <w:szCs w:val="21"/>
          <w:lang w:val="en-US" w:eastAsia="zh-CN" w:bidi="ar"/>
        </w:rPr>
        <w:t>. PPT课件（PPT/PDF） —— WPS AI / iSlide</w:t>
      </w:r>
    </w:p>
    <w:p w14:paraId="334CD873">
      <w:pPr>
        <w:pStyle w:val="12"/>
        <w:keepNext w:val="0"/>
        <w:keepLines w:val="0"/>
        <w:pageBreakBefore w:val="0"/>
        <w:widowControl/>
        <w:numPr>
          <w:ilvl w:val="0"/>
          <w:numId w:val="28"/>
        </w:numPr>
        <w:suppressLineNumbers w:val="0"/>
        <w:kinsoku/>
        <w:wordWrap/>
        <w:overflowPunct/>
        <w:topLinePunct w:val="0"/>
        <w:autoSpaceDE/>
        <w:autoSpaceDN/>
        <w:bidi w:val="0"/>
        <w:adjustRightInd w:val="0"/>
        <w:snapToGrid w:val="0"/>
        <w:spacing w:line="332" w:lineRule="exact"/>
        <w:ind w:left="420" w:leftChars="0" w:right="0" w:rightChars="0" w:firstLine="420" w:firstLineChars="200"/>
        <w:textAlignment w:val="auto"/>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操作步骤</w:t>
      </w:r>
    </w:p>
    <w:p w14:paraId="712389A3">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1）在WPS AI内选择“AI智能演示”，输入标题与5页结构（封面→研究问题→文献综述→数据分析→结论建议）；</w:t>
      </w:r>
    </w:p>
    <w:p w14:paraId="2BF51D27">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2）插入2.5.3案例文字要点与2.5.4题型示例图；</w:t>
      </w:r>
    </w:p>
    <w:p w14:paraId="5023DD63">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3）使用iSlide进行版式统一（字号、行距、配色与页脚学期标）；</w:t>
      </w:r>
    </w:p>
    <w:p w14:paraId="7F64D193">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4）导出 .pptx 与讲义版 .pdf。提示词范式</w:t>
      </w:r>
    </w:p>
    <w:p w14:paraId="463EC0CD">
      <w:pPr>
        <w:pStyle w:val="12"/>
        <w:keepNext w:val="0"/>
        <w:keepLines w:val="0"/>
        <w:pageBreakBefore w:val="0"/>
        <w:widowControl/>
        <w:numPr>
          <w:ilvl w:val="0"/>
          <w:numId w:val="27"/>
        </w:numPr>
        <w:suppressLineNumbers w:val="0"/>
        <w:kinsoku/>
        <w:wordWrap/>
        <w:overflowPunct/>
        <w:topLinePunct w:val="0"/>
        <w:autoSpaceDE/>
        <w:autoSpaceDN/>
        <w:bidi w:val="0"/>
        <w:adjustRightInd w:val="0"/>
        <w:snapToGrid w:val="0"/>
        <w:spacing w:line="332" w:lineRule="exact"/>
        <w:ind w:left="420" w:leftChars="0" w:firstLine="420" w:firstLineChars="200"/>
        <w:textAlignment w:val="auto"/>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提示词范式</w:t>
      </w:r>
    </w:p>
    <w:p w14:paraId="6CDB7054">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420" w:leftChars="200" w:right="720" w:firstLine="420" w:firstLineChars="200"/>
        <w:textAlignment w:val="auto"/>
        <w:rPr>
          <w:rFonts w:hint="eastAsia" w:ascii="黑体" w:hAnsi="黑体" w:eastAsia="黑体" w:cs="黑体"/>
          <w:b w:val="0"/>
          <w:bCs w:val="0"/>
          <w:i/>
          <w:iCs/>
          <w:kern w:val="0"/>
          <w:sz w:val="21"/>
          <w:szCs w:val="21"/>
          <w:lang w:val="en-US" w:eastAsia="zh-CN" w:bidi="ar"/>
        </w:rPr>
      </w:pPr>
      <w:r>
        <w:rPr>
          <w:rFonts w:hint="eastAsia" w:ascii="黑体" w:hAnsi="黑体" w:eastAsia="黑体" w:cs="黑体"/>
          <w:b w:val="0"/>
          <w:bCs w:val="0"/>
          <w:i/>
          <w:iCs/>
          <w:kern w:val="0"/>
          <w:sz w:val="21"/>
          <w:szCs w:val="21"/>
          <w:lang w:val="en-US" w:eastAsia="zh-CN" w:bidi="ar"/>
        </w:rPr>
        <w:t>生成PPT：请根据以下要点生成5页PPT，采用学术风模板：1.封面；2. 研究问题与教学目标；3. 案例正文要点；4. 数据图表与题型示例；5. 结论与思政引导。每页控制100字以内，图表置中，统一页脚为“市场营销·定价策略专题”。</w:t>
      </w:r>
    </w:p>
    <w:p w14:paraId="54FA53E6">
      <w:pPr>
        <w:pStyle w:val="5"/>
        <w:keepNext w:val="0"/>
        <w:keepLines w:val="0"/>
        <w:pageBreakBefore w:val="0"/>
        <w:widowControl/>
        <w:suppressLineNumbers w:val="0"/>
        <w:kinsoku/>
        <w:wordWrap/>
        <w:overflowPunct/>
        <w:topLinePunct w:val="0"/>
        <w:autoSpaceDE/>
        <w:autoSpaceDN/>
        <w:bidi w:val="0"/>
        <w:adjustRightInd w:val="0"/>
        <w:snapToGrid w:val="0"/>
        <w:spacing w:line="332" w:lineRule="exact"/>
        <w:ind w:firstLine="420" w:firstLineChars="20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3. 题库（Excel/CSV） —— 通义千问 / 表格AI</w:t>
      </w:r>
    </w:p>
    <w:p w14:paraId="004153A8">
      <w:pPr>
        <w:pStyle w:val="12"/>
        <w:keepNext w:val="0"/>
        <w:keepLines w:val="0"/>
        <w:pageBreakBefore w:val="0"/>
        <w:widowControl/>
        <w:numPr>
          <w:ilvl w:val="0"/>
          <w:numId w:val="29"/>
        </w:numPr>
        <w:suppressLineNumbers w:val="0"/>
        <w:kinsoku/>
        <w:wordWrap/>
        <w:overflowPunct/>
        <w:topLinePunct w:val="0"/>
        <w:autoSpaceDE/>
        <w:autoSpaceDN/>
        <w:bidi w:val="0"/>
        <w:adjustRightInd w:val="0"/>
        <w:snapToGrid w:val="0"/>
        <w:spacing w:line="332" w:lineRule="exact"/>
        <w:ind w:left="1260" w:leftChars="0" w:right="720" w:hanging="420" w:firstLineChars="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操作步骤</w:t>
      </w:r>
    </w:p>
    <w:p w14:paraId="4B37D795">
      <w:pPr>
        <w:rPr>
          <w:rFonts w:hint="default"/>
          <w:lang w:val="en-US" w:eastAsia="zh-CN"/>
        </w:rPr>
      </w:pPr>
      <w:r>
        <w:rPr>
          <w:rFonts w:hint="default"/>
          <w:lang w:val="en-US" w:eastAsia="zh-CN"/>
        </w:rPr>
        <w:t>1）在通义千问中批量生成选择题/判断题/简答/案例分析；</w:t>
      </w:r>
    </w:p>
    <w:p w14:paraId="7C811247">
      <w:pPr>
        <w:rPr>
          <w:rFonts w:hint="default"/>
          <w:lang w:val="en-US" w:eastAsia="zh-CN"/>
        </w:rPr>
      </w:pPr>
      <w:r>
        <w:rPr>
          <w:rFonts w:hint="default"/>
          <w:lang w:val="en-US" w:eastAsia="zh-CN"/>
        </w:rPr>
        <w:t>2）使用表格AI或本章提供的模板统一列名（编号、题型、题干、选项、答案、解析、难度、知识点）；</w:t>
      </w:r>
    </w:p>
    <w:p w14:paraId="1A15C52B">
      <w:pPr>
        <w:rPr>
          <w:rFonts w:hint="default"/>
          <w:lang w:val="en-US" w:eastAsia="zh-CN"/>
        </w:rPr>
      </w:pPr>
      <w:r>
        <w:rPr>
          <w:rFonts w:hint="default"/>
          <w:lang w:val="en-US" w:eastAsia="zh-CN"/>
        </w:rPr>
        <w:t>3）导出 .xlsx 以便平台导入。</w:t>
      </w:r>
    </w:p>
    <w:p w14:paraId="53735F71">
      <w:pPr>
        <w:pStyle w:val="12"/>
        <w:keepNext w:val="0"/>
        <w:keepLines w:val="0"/>
        <w:pageBreakBefore w:val="0"/>
        <w:widowControl/>
        <w:numPr>
          <w:ilvl w:val="0"/>
          <w:numId w:val="29"/>
        </w:numPr>
        <w:suppressLineNumbers w:val="0"/>
        <w:kinsoku/>
        <w:wordWrap/>
        <w:overflowPunct/>
        <w:topLinePunct w:val="0"/>
        <w:autoSpaceDE/>
        <w:autoSpaceDN/>
        <w:bidi w:val="0"/>
        <w:adjustRightInd w:val="0"/>
        <w:snapToGrid w:val="0"/>
        <w:spacing w:line="332" w:lineRule="exact"/>
        <w:ind w:left="1260" w:leftChars="0" w:right="720" w:hanging="420" w:firstLineChars="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提示词范式</w:t>
      </w:r>
    </w:p>
    <w:p w14:paraId="1BB5870F">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420" w:leftChars="200" w:right="720" w:firstLine="420" w:firstLineChars="200"/>
        <w:textAlignment w:val="auto"/>
        <w:rPr>
          <w:rFonts w:hint="default" w:ascii="Times New Roman Regular" w:hAnsi="Times New Roman Regular" w:cs="Times New Roman Regular" w:eastAsiaTheme="minorEastAsia"/>
          <w:b w:val="0"/>
          <w:bCs w:val="0"/>
          <w:i/>
          <w:iCs/>
          <w:kern w:val="0"/>
          <w:sz w:val="21"/>
          <w:szCs w:val="21"/>
          <w:lang w:val="en-US" w:eastAsia="zh-CN" w:bidi="ar"/>
        </w:rPr>
      </w:pPr>
      <w:r>
        <w:rPr>
          <w:rFonts w:hint="default" w:ascii="黑体" w:hAnsi="黑体" w:eastAsia="黑体" w:cs="黑体"/>
          <w:b w:val="0"/>
          <w:bCs w:val="0"/>
          <w:i/>
          <w:iCs/>
          <w:kern w:val="0"/>
          <w:sz w:val="21"/>
          <w:szCs w:val="21"/>
          <w:lang w:val="en-US" w:eastAsia="zh-CN" w:bidi="ar"/>
        </w:rPr>
        <w:t>生成题库：请基于‘比亚迪价格战’生成题库：单选5、判断5、简答2、案例分析2；附答案与解析；另给出知识点标签与难度系数（1—5）。按列输出便于Excel导入。</w:t>
      </w:r>
    </w:p>
    <w:p w14:paraId="27B56D7B">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420" w:leftChars="200" w:right="720" w:firstLine="420" w:firstLineChars="20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注：本案例的示例题库Excel（BYD_Case_QuestionBank_v1.0.xlsx）可直接用于演示平台导入流程。</w:t>
      </w:r>
    </w:p>
    <w:p w14:paraId="099AD75B">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right="72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4. Markdown/在线协作文档（</w:t>
      </w:r>
      <w:r>
        <w:rPr>
          <w:rFonts w:hint="eastAsia" w:ascii="Times New Roman Regular" w:hAnsi="Times New Roman Regular" w:cs="Times New Roman Regular"/>
          <w:b w:val="0"/>
          <w:bCs w:val="0"/>
          <w:kern w:val="0"/>
          <w:sz w:val="21"/>
          <w:szCs w:val="21"/>
          <w:lang w:val="en-US" w:eastAsia="zh-CN" w:bidi="ar"/>
        </w:rPr>
        <w:t>。</w:t>
      </w:r>
      <w:r>
        <w:rPr>
          <w:rFonts w:hint="default" w:ascii="Times New Roman Regular" w:hAnsi="Times New Roman Regular" w:cs="Times New Roman Regular" w:eastAsiaTheme="minorEastAsia"/>
          <w:b w:val="0"/>
          <w:bCs w:val="0"/>
          <w:kern w:val="0"/>
          <w:sz w:val="21"/>
          <w:szCs w:val="21"/>
          <w:lang w:val="en-US" w:eastAsia="zh-CN" w:bidi="ar"/>
        </w:rPr>
        <w:t>md</w:t>
      </w:r>
      <w:r>
        <w:rPr>
          <w:rFonts w:hint="eastAsia" w:ascii="Times New Roman Regular" w:hAnsi="Times New Roman Regular" w:cs="Times New Roman Regular"/>
          <w:b w:val="0"/>
          <w:bCs w:val="0"/>
          <w:kern w:val="0"/>
          <w:sz w:val="21"/>
          <w:szCs w:val="21"/>
          <w:lang w:val="en-US" w:eastAsia="zh-CN" w:bidi="ar"/>
        </w:rPr>
        <w:t>/</w:t>
      </w:r>
      <w:r>
        <w:rPr>
          <w:rFonts w:hint="default" w:ascii="Times New Roman Regular" w:hAnsi="Times New Roman Regular" w:cs="Times New Roman Regular" w:eastAsiaTheme="minorEastAsia"/>
          <w:b w:val="0"/>
          <w:bCs w:val="0"/>
          <w:kern w:val="0"/>
          <w:sz w:val="21"/>
          <w:szCs w:val="21"/>
          <w:lang w:val="en-US" w:eastAsia="zh-CN" w:bidi="ar"/>
        </w:rPr>
        <w:t>docx） —— 豆包 / WPS AI</w:t>
      </w:r>
    </w:p>
    <w:p w14:paraId="689BEAE9">
      <w:pPr>
        <w:pStyle w:val="12"/>
        <w:keepNext w:val="0"/>
        <w:keepLines w:val="0"/>
        <w:pageBreakBefore w:val="0"/>
        <w:widowControl/>
        <w:numPr>
          <w:ilvl w:val="0"/>
          <w:numId w:val="29"/>
        </w:numPr>
        <w:suppressLineNumbers w:val="0"/>
        <w:kinsoku/>
        <w:wordWrap/>
        <w:overflowPunct/>
        <w:topLinePunct w:val="0"/>
        <w:autoSpaceDE/>
        <w:autoSpaceDN/>
        <w:bidi w:val="0"/>
        <w:adjustRightInd w:val="0"/>
        <w:snapToGrid w:val="0"/>
        <w:spacing w:line="332" w:lineRule="exact"/>
        <w:ind w:left="1260" w:leftChars="0" w:right="720" w:hanging="420" w:firstLineChars="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操作步骤</w:t>
      </w:r>
    </w:p>
    <w:p w14:paraId="3FB1E163">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210" w:leftChars="100" w:right="720" w:firstLine="420" w:firstLineChars="20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1）将案例全文、课堂问题与参考答案转换为Markdown，保留“图表占位”与“提示词附件位”；</w:t>
      </w:r>
    </w:p>
    <w:p w14:paraId="6494248E">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210" w:leftChars="100" w:right="720" w:firstLine="420" w:firstLineChars="20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2）用于知识库沉淀（Obsidian/本地RAG），或发布至教学团队协作平台。</w:t>
      </w:r>
    </w:p>
    <w:p w14:paraId="6E582C39">
      <w:pPr>
        <w:pStyle w:val="12"/>
        <w:keepNext w:val="0"/>
        <w:keepLines w:val="0"/>
        <w:pageBreakBefore w:val="0"/>
        <w:widowControl/>
        <w:numPr>
          <w:ilvl w:val="0"/>
          <w:numId w:val="29"/>
        </w:numPr>
        <w:suppressLineNumbers w:val="0"/>
        <w:kinsoku/>
        <w:wordWrap/>
        <w:overflowPunct/>
        <w:topLinePunct w:val="0"/>
        <w:autoSpaceDE/>
        <w:autoSpaceDN/>
        <w:bidi w:val="0"/>
        <w:adjustRightInd w:val="0"/>
        <w:snapToGrid w:val="0"/>
        <w:spacing w:line="332" w:lineRule="exact"/>
        <w:ind w:left="1260" w:leftChars="0" w:right="720" w:hanging="420" w:firstLineChars="0"/>
        <w:textAlignment w:val="auto"/>
        <w:rPr>
          <w:rFonts w:hint="default" w:ascii="Times New Roman Regular" w:hAnsi="Times New Roman Regular" w:cs="Times New Roman Regular" w:eastAsiaTheme="minorEastAsia"/>
          <w:b w:val="0"/>
          <w:bCs w:val="0"/>
          <w:kern w:val="0"/>
          <w:sz w:val="21"/>
          <w:szCs w:val="21"/>
          <w:lang w:val="en-US" w:eastAsia="zh-CN" w:bidi="ar"/>
        </w:rPr>
      </w:pPr>
      <w:r>
        <w:rPr>
          <w:rFonts w:hint="default" w:ascii="Times New Roman Regular" w:hAnsi="Times New Roman Regular" w:cs="Times New Roman Regular" w:eastAsiaTheme="minorEastAsia"/>
          <w:b w:val="0"/>
          <w:bCs w:val="0"/>
          <w:kern w:val="0"/>
          <w:sz w:val="21"/>
          <w:szCs w:val="21"/>
          <w:lang w:val="en-US" w:eastAsia="zh-CN" w:bidi="ar"/>
        </w:rPr>
        <w:t>提示词范式</w:t>
      </w:r>
    </w:p>
    <w:p w14:paraId="4266B922">
      <w:pPr>
        <w:pStyle w:val="12"/>
        <w:keepNext w:val="0"/>
        <w:keepLines w:val="0"/>
        <w:pageBreakBefore w:val="0"/>
        <w:widowControl/>
        <w:suppressLineNumbers w:val="0"/>
        <w:kinsoku/>
        <w:wordWrap/>
        <w:overflowPunct/>
        <w:topLinePunct w:val="0"/>
        <w:autoSpaceDE/>
        <w:autoSpaceDN/>
        <w:bidi w:val="0"/>
        <w:adjustRightInd w:val="0"/>
        <w:snapToGrid w:val="0"/>
        <w:spacing w:line="332" w:lineRule="exact"/>
        <w:ind w:left="420" w:leftChars="200" w:right="720" w:firstLine="420" w:firstLineChars="200"/>
        <w:textAlignment w:val="auto"/>
        <w:rPr>
          <w:rFonts w:hint="eastAsia" w:ascii="Times New Roman" w:hAnsi="Times New Roman" w:eastAsia="宋体" w:cs="Times New Roman"/>
          <w:kern w:val="2"/>
          <w:sz w:val="21"/>
          <w:lang w:val="en-US" w:eastAsia="zh-CN" w:bidi="ar-SA"/>
        </w:rPr>
      </w:pPr>
      <w:r>
        <w:rPr>
          <w:rFonts w:hint="default" w:ascii="黑体" w:hAnsi="黑体" w:eastAsia="黑体" w:cs="黑体"/>
          <w:b w:val="0"/>
          <w:bCs w:val="0"/>
          <w:i/>
          <w:iCs/>
          <w:kern w:val="0"/>
          <w:sz w:val="21"/>
          <w:szCs w:val="21"/>
          <w:lang w:val="en-US" w:eastAsia="zh-CN" w:bidi="ar"/>
        </w:rPr>
        <w:t>转换为Markdown：请将以下文本转换为结构清晰的Markdown文档，标题使用二级（##），插入图表占位说明（图1/图2），在文末附‘提示词附录’。</w:t>
      </w:r>
    </w:p>
    <w:p w14:paraId="766811EA">
      <w:pPr>
        <w:pStyle w:val="12"/>
        <w:keepNext w:val="0"/>
        <w:keepLines w:val="0"/>
        <w:pageBreakBefore w:val="0"/>
        <w:widowControl/>
        <w:numPr>
          <w:ilvl w:val="0"/>
          <w:numId w:val="23"/>
        </w:numPr>
        <w:suppressLineNumbers w:val="0"/>
        <w:tabs>
          <w:tab w:val="center" w:pos="4830"/>
        </w:tabs>
        <w:kinsoku/>
        <w:wordWrap/>
        <w:overflowPunct/>
        <w:topLinePunct w:val="0"/>
        <w:autoSpaceDE/>
        <w:autoSpaceDN/>
        <w:bidi w:val="0"/>
        <w:adjustRightInd w:val="0"/>
        <w:snapToGrid w:val="0"/>
        <w:spacing w:beforeAutospacing="0" w:afterAutospacing="0" w:line="332" w:lineRule="atLeast"/>
        <w:ind w:firstLine="420" w:firstLineChars="200"/>
        <w:textAlignment w:val="auto"/>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质量校核（QC）与合规清单（教师用）</w:t>
      </w:r>
    </w:p>
    <w:p w14:paraId="57551FFE">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为保证资料包质量与学术规范，发布前建议执行以下校核：</w:t>
      </w:r>
    </w:p>
    <w:p w14:paraId="43589A3D">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1、内容一致性与准确性</w:t>
      </w:r>
    </w:p>
    <w:p w14:paraId="78C051F9">
      <w:pPr>
        <w:keepNext w:val="0"/>
        <w:keepLines w:val="0"/>
        <w:pageBreakBefore w:val="0"/>
        <w:numPr>
          <w:ilvl w:val="0"/>
          <w:numId w:val="30"/>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术语统一（定价策略、竞争导向、品牌溢价等）；</w:t>
      </w:r>
    </w:p>
    <w:p w14:paraId="71EADB58">
      <w:pPr>
        <w:keepNext w:val="0"/>
        <w:keepLines w:val="0"/>
        <w:pageBreakBefore w:val="0"/>
        <w:numPr>
          <w:ilvl w:val="0"/>
          <w:numId w:val="30"/>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图文一致（PPT图表与文字要点匹配）；</w:t>
      </w:r>
    </w:p>
    <w:p w14:paraId="14F5E27A">
      <w:pPr>
        <w:keepNext w:val="0"/>
        <w:keepLines w:val="0"/>
        <w:pageBreakBefore w:val="0"/>
        <w:numPr>
          <w:ilvl w:val="0"/>
          <w:numId w:val="30"/>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eastAsia" w:ascii="Times New Roman Regular" w:hAnsi="Times New Roman Regular" w:cs="Times New Roman Regular"/>
          <w:lang w:val="en-US" w:eastAsia="zh-CN"/>
        </w:rPr>
        <w:t>计算</w:t>
      </w:r>
      <w:r>
        <w:rPr>
          <w:rFonts w:hint="default" w:ascii="Times New Roman Regular" w:hAnsi="Times New Roman Regular" w:cs="Times New Roman Regular" w:eastAsiaTheme="minorEastAsia"/>
          <w:lang w:val="en-US" w:eastAsia="zh-CN"/>
        </w:rPr>
        <w:t>数据（若含）有来源可追溯。</w:t>
      </w:r>
    </w:p>
    <w:p w14:paraId="434F21D5">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2、版式与可读性</w:t>
      </w:r>
    </w:p>
    <w:p w14:paraId="7DA15E16">
      <w:pPr>
        <w:keepNext w:val="0"/>
        <w:keepLines w:val="0"/>
        <w:pageBreakBefore w:val="0"/>
        <w:widowControl w:val="0"/>
        <w:numPr>
          <w:ilvl w:val="0"/>
          <w:numId w:val="31"/>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PPT字号层级：标题≥32pt，正文18–24pt；</w:t>
      </w:r>
    </w:p>
    <w:p w14:paraId="09528743">
      <w:pPr>
        <w:keepNext w:val="0"/>
        <w:keepLines w:val="0"/>
        <w:pageBreakBefore w:val="0"/>
        <w:widowControl w:val="0"/>
        <w:numPr>
          <w:ilvl w:val="0"/>
          <w:numId w:val="31"/>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图表可视化：坐标轴、图例、数据标签清晰；</w:t>
      </w:r>
    </w:p>
    <w:p w14:paraId="28EB520E">
      <w:pPr>
        <w:keepNext w:val="0"/>
        <w:keepLines w:val="0"/>
        <w:pageBreakBefore w:val="0"/>
        <w:widowControl w:val="0"/>
        <w:numPr>
          <w:ilvl w:val="0"/>
          <w:numId w:val="31"/>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黑板化/打印友好：讲义版PDF采用浅色背景、留白≥20mm。</w:t>
      </w:r>
    </w:p>
    <w:p w14:paraId="44FC6EFE">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3、无障碍与可访问性</w:t>
      </w:r>
    </w:p>
    <w:p w14:paraId="029492DA">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图片替代文本：课堂关键图表附一句话描述；</w:t>
      </w:r>
    </w:p>
    <w:p w14:paraId="64DA2DF1">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色觉友好：避免仅用颜色区分信息，增加形状/标记；</w:t>
      </w:r>
    </w:p>
    <w:p w14:paraId="6E29644C">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设备适配：PDF在移动端预览无断行。</w:t>
      </w:r>
    </w:p>
    <w:p w14:paraId="15653CED">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4、AIGC使用披露与学术伦理</w:t>
      </w:r>
    </w:p>
    <w:p w14:paraId="29C727DB">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在 AIGC使用记录：使用的模型、版本、环节（教案/PPT/题库）、二次人工校订点；</w:t>
      </w:r>
    </w:p>
    <w:p w14:paraId="3E2D33BF">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若引用外部报道/数据，保证版权与引用合规；</w:t>
      </w:r>
    </w:p>
    <w:p w14:paraId="084ABF7F">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不将模型生成文本直接作为学术引用来源，重要事实须二次核查。</w:t>
      </w:r>
    </w:p>
    <w:p w14:paraId="68690341">
      <w:pPr>
        <w:keepNext w:val="0"/>
        <w:keepLines w:val="0"/>
        <w:pageBreakBefore w:val="0"/>
        <w:widowControl w:val="0"/>
        <w:kinsoku/>
        <w:wordWrap/>
        <w:overflowPunct/>
        <w:topLinePunct w:val="0"/>
        <w:autoSpaceDE/>
        <w:autoSpaceDN/>
        <w:bidi w:val="0"/>
        <w:adjustRightInd w:val="0"/>
        <w:snapToGrid w:val="0"/>
        <w:spacing w:beforeAutospacing="0" w:afterAutospacing="0" w:line="332" w:lineRule="atLeast"/>
        <w:ind w:leftChars="20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5、隐私与安全</w:t>
      </w:r>
    </w:p>
    <w:p w14:paraId="7C0615A6">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eastAsiaTheme="minorEastAsia"/>
          <w:lang w:val="en-US" w:eastAsia="zh-CN"/>
        </w:rPr>
        <w:t>不上传学生个人信息；</w:t>
      </w:r>
    </w:p>
    <w:p w14:paraId="7B231F3C">
      <w:pPr>
        <w:keepNext w:val="0"/>
        <w:keepLines w:val="0"/>
        <w:pageBreakBefore w:val="0"/>
        <w:widowControl w:val="0"/>
        <w:numPr>
          <w:ilvl w:val="0"/>
          <w:numId w:val="32"/>
        </w:numPr>
        <w:kinsoku/>
        <w:wordWrap/>
        <w:overflowPunct/>
        <w:topLinePunct w:val="0"/>
        <w:autoSpaceDE/>
        <w:autoSpaceDN/>
        <w:bidi w:val="0"/>
        <w:adjustRightInd w:val="0"/>
        <w:snapToGrid w:val="0"/>
        <w:spacing w:beforeAutospacing="0" w:afterAutospacing="0" w:line="332" w:lineRule="atLeast"/>
        <w:ind w:left="840" w:leftChars="0" w:firstLine="420" w:firstLineChars="200"/>
        <w:textAlignment w:val="auto"/>
        <w:rPr>
          <w:rFonts w:hint="default" w:ascii="Times New Roman Regular" w:hAnsi="Times New Roman Regular" w:cs="Times New Roman Regular" w:eastAsiaTheme="minorEastAsia"/>
          <w:kern w:val="2"/>
          <w:sz w:val="21"/>
          <w:lang w:val="en-US" w:eastAsia="zh-CN" w:bidi="ar-SA"/>
        </w:rPr>
      </w:pPr>
      <w:r>
        <w:rPr>
          <w:rFonts w:hint="default" w:ascii="Times New Roman Regular" w:hAnsi="Times New Roman Regular" w:cs="Times New Roman Regular" w:eastAsiaTheme="minorEastAsia"/>
          <w:lang w:val="en-US" w:eastAsia="zh-CN"/>
        </w:rPr>
        <w:t>数据脱敏（若涉及供应链或价格敏感数据，采用模拟/公开数据）。</w:t>
      </w:r>
    </w:p>
    <w:p w14:paraId="141DEDB9">
      <w:pPr>
        <w:pStyle w:val="12"/>
        <w:keepNext w:val="0"/>
        <w:keepLines w:val="0"/>
        <w:widowControl/>
        <w:suppressLineNumbers w:val="0"/>
        <w:ind w:left="0" w:leftChars="0" w:firstLine="280" w:firstLineChars="100"/>
        <w:rPr>
          <w:rFonts w:hint="eastAsia" w:ascii="Times New Roman" w:hAnsi="Times New Roman" w:eastAsia="宋体" w:cs="Times New Roman"/>
          <w:kern w:val="2"/>
          <w:sz w:val="21"/>
          <w:lang w:val="en-US" w:eastAsia="zh-CN" w:bidi="ar-SA"/>
        </w:rPr>
      </w:pPr>
      <w:r>
        <w:rPr>
          <w:rFonts w:hint="eastAsia" w:ascii="Arial" w:hAnsi="Arial" w:eastAsia="黑体" w:cs="Arial"/>
          <w:b w:val="0"/>
          <w:bCs/>
          <w:kern w:val="0"/>
          <w:sz w:val="28"/>
          <w:szCs w:val="27"/>
          <w:lang w:val="en-US" w:eastAsia="zh-CN" w:bidi="he-IL"/>
        </w:rPr>
        <w:t>2.5.6 案例回顾与教学总结</w:t>
      </w:r>
    </w:p>
    <w:p w14:paraId="6D78E363">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“比亚迪价格战”案例的设计与实施，不仅丰富了经管类课程中“定价策略”“竞争行为”“品牌管理”等核心内容的教学素材，也充分体现了生成式人工智能（AIGC）技术在</w:t>
      </w:r>
      <w:r>
        <w:rPr>
          <w:rStyle w:val="16"/>
          <w:rFonts w:hint="default" w:ascii="Times New Roman Regular" w:hAnsi="Times New Roman Regular" w:cs="Times New Roman Regular" w:eastAsiaTheme="minorEastAsia"/>
          <w:b w:val="0"/>
          <w:sz w:val="21"/>
          <w:szCs w:val="21"/>
        </w:rPr>
        <w:t>教学全流程嵌入式辅助</w:t>
      </w:r>
      <w:r>
        <w:rPr>
          <w:rFonts w:hint="default" w:ascii="Times New Roman Regular" w:hAnsi="Times New Roman Regular" w:cs="Times New Roman Regular" w:eastAsiaTheme="minorEastAsia"/>
          <w:b w:val="0"/>
          <w:sz w:val="21"/>
          <w:szCs w:val="21"/>
        </w:rPr>
        <w:t>中的应用潜力。本节从</w:t>
      </w:r>
      <w:r>
        <w:rPr>
          <w:rStyle w:val="16"/>
          <w:rFonts w:hint="default" w:ascii="Times New Roman Regular" w:hAnsi="Times New Roman Regular" w:cs="Times New Roman Regular" w:eastAsiaTheme="minorEastAsia"/>
          <w:b w:val="0"/>
          <w:sz w:val="21"/>
          <w:szCs w:val="21"/>
        </w:rPr>
        <w:t>教学成效评估、AIGC价值总结、教学反思优化与未来发展方向</w:t>
      </w:r>
      <w:r>
        <w:rPr>
          <w:rFonts w:hint="default" w:ascii="Times New Roman Regular" w:hAnsi="Times New Roman Regular" w:cs="Times New Roman Regular" w:eastAsiaTheme="minorEastAsia"/>
          <w:b w:val="0"/>
          <w:sz w:val="21"/>
          <w:szCs w:val="21"/>
        </w:rPr>
        <w:t>四个维度，对案例实践进行系统回顾。</w:t>
      </w:r>
    </w:p>
    <w:p w14:paraId="61F25D3C">
      <w:pPr>
        <w:pStyle w:val="12"/>
        <w:keepNext w:val="0"/>
        <w:keepLines w:val="0"/>
        <w:widowControl/>
        <w:numPr>
          <w:ilvl w:val="0"/>
          <w:numId w:val="33"/>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教学成效评估：从知识传授到能力建构</w:t>
      </w:r>
    </w:p>
    <w:p w14:paraId="63FFFD0E">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通过本案例的实施，学生在知识获取、思维训练与能力提升三个方面均表现出良好反应：</w:t>
      </w:r>
    </w:p>
    <w:p w14:paraId="60CDBE1D">
      <w:pPr>
        <w:pStyle w:val="12"/>
        <w:keepNext w:val="0"/>
        <w:keepLines w:val="0"/>
        <w:widowControl/>
        <w:numPr>
          <w:ilvl w:val="0"/>
          <w:numId w:val="34"/>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知识掌握更具结构性</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借助AI生成的案例内容与三维教案，学生能够系统掌握价格战的基本类型、竞争导向定价的机制、品牌溢价与成本结构的权衡逻辑等理论知识。</w:t>
      </w:r>
    </w:p>
    <w:p w14:paraId="0D404296">
      <w:pPr>
        <w:pStyle w:val="12"/>
        <w:keepNext w:val="0"/>
        <w:keepLines w:val="0"/>
        <w:widowControl/>
        <w:numPr>
          <w:ilvl w:val="0"/>
          <w:numId w:val="34"/>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问题意识明显增强</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案例中设置的管理者决策视角问题（如“是否应继续降价”“如何应对特斯拉的挑战”）促进学生从企业战略出发，进行动态分析与比较思维训练。</w:t>
      </w:r>
    </w:p>
    <w:p w14:paraId="5803385C">
      <w:pPr>
        <w:pStyle w:val="12"/>
        <w:keepNext w:val="0"/>
        <w:keepLines w:val="0"/>
        <w:widowControl/>
        <w:numPr>
          <w:ilvl w:val="0"/>
          <w:numId w:val="34"/>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表达能力与讨论质量提升</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通过AI辅助生成的思政导向问题与案例讨论指引，学生能够围绕企业社会责任、国家产业政策等宏观主题展开讨论，形成多元化视角的表达能力。</w:t>
      </w:r>
    </w:p>
    <w:p w14:paraId="14A38145">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课堂测评结果显示，学生在案例分析题上的得分率明显高于传统记忆型题目，表明其在理解性与应用性认知方面有所突破。</w:t>
      </w:r>
    </w:p>
    <w:p w14:paraId="31BDB5CC">
      <w:pPr>
        <w:pStyle w:val="12"/>
        <w:keepNext w:val="0"/>
        <w:keepLines w:val="0"/>
        <w:widowControl/>
        <w:numPr>
          <w:ilvl w:val="0"/>
          <w:numId w:val="33"/>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AIGC赋能价值：教学设计与资源建设的“双加速器”</w:t>
      </w:r>
    </w:p>
    <w:p w14:paraId="6D207EC7">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本案例各环节嵌入的AIGC工具带来了显著的效率与质量提升，其价值主要体现为：</w:t>
      </w:r>
    </w:p>
    <w:p w14:paraId="7FFC83E4">
      <w:pPr>
        <w:pStyle w:val="12"/>
        <w:keepNext w:val="0"/>
        <w:keepLines w:val="0"/>
        <w:widowControl/>
        <w:numPr>
          <w:ilvl w:val="0"/>
          <w:numId w:val="35"/>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教案生成提速80%以上</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传统教学设计往往需数小时完成结构梳理与活动安排，借助讯飞星火与智谱清言，教师可在30分钟内完成课程逻辑框架与思政要素嵌入。</w:t>
      </w:r>
    </w:p>
    <w:p w14:paraId="7CEC6468">
      <w:pPr>
        <w:pStyle w:val="12"/>
        <w:keepNext w:val="0"/>
        <w:keepLines w:val="0"/>
        <w:widowControl/>
        <w:numPr>
          <w:ilvl w:val="0"/>
          <w:numId w:val="35"/>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教学资源更新周期缩短</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基于比亚迪等实时企业动态，可快速生成配套案例与题库，打破“教材滞后—教学老化”的困境，实现“教什么—市面上就发生什么”的实时链接。</w:t>
      </w:r>
    </w:p>
    <w:p w14:paraId="5979E8BC">
      <w:pPr>
        <w:pStyle w:val="12"/>
        <w:keepNext w:val="0"/>
        <w:keepLines w:val="0"/>
        <w:widowControl/>
        <w:numPr>
          <w:ilvl w:val="0"/>
          <w:numId w:val="35"/>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题库质量与适配度提高</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通义千问在题型多样性与参考答案逻辑性方面表现优异，教师可基于基础生成结果进一步编辑，提升题干表述准确性与认知层次区分度。</w:t>
      </w:r>
    </w:p>
    <w:p w14:paraId="082D5DF3">
      <w:pPr>
        <w:pStyle w:val="12"/>
        <w:keepNext w:val="0"/>
        <w:keepLines w:val="0"/>
        <w:widowControl/>
        <w:numPr>
          <w:ilvl w:val="0"/>
          <w:numId w:val="35"/>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教研协作透明度提升</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通过统一模板与清单式导出机制，教学团队可在共享资料包的基础上进行二次开发与优化，形成“团队沉淀+个性应用”融合模式。</w:t>
      </w:r>
    </w:p>
    <w:p w14:paraId="332F0386">
      <w:pPr>
        <w:pStyle w:val="12"/>
        <w:keepNext w:val="0"/>
        <w:keepLines w:val="0"/>
        <w:widowControl/>
        <w:numPr>
          <w:ilvl w:val="0"/>
          <w:numId w:val="33"/>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教学反思与改进建议</w:t>
      </w:r>
    </w:p>
    <w:p w14:paraId="09F67929">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在具体教学实践过程中，也发现AIGC介入可能带来的一些问题与改进空间：</w:t>
      </w:r>
    </w:p>
    <w:p w14:paraId="2356A897">
      <w:pPr>
        <w:pStyle w:val="12"/>
        <w:keepNext w:val="0"/>
        <w:keepLines w:val="0"/>
        <w:widowControl/>
        <w:numPr>
          <w:ilvl w:val="0"/>
          <w:numId w:val="36"/>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提示词质量影响结果显著</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AIGC工具对提示词的结构、限定条件与输出格式非常敏感，初次使用者易因指令模糊而获得无效结果，需进行系统化培训或引入提示词库。</w:t>
      </w:r>
    </w:p>
    <w:p w14:paraId="6BB328CE">
      <w:pPr>
        <w:pStyle w:val="12"/>
        <w:keepNext w:val="0"/>
        <w:keepLines w:val="0"/>
        <w:widowControl/>
        <w:numPr>
          <w:ilvl w:val="0"/>
          <w:numId w:val="36"/>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案例“真实性”仍需教师修订把关</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虽然AI生成的案例具备结构完整与逻辑清晰等优势，但其在行业语言、企业行为动机等方面仍有“泛化倾向”，需教师进行二次润色与校验。</w:t>
      </w:r>
    </w:p>
    <w:p w14:paraId="33349869">
      <w:pPr>
        <w:pStyle w:val="12"/>
        <w:keepNext w:val="0"/>
        <w:keepLines w:val="0"/>
        <w:widowControl/>
        <w:numPr>
          <w:ilvl w:val="0"/>
          <w:numId w:val="36"/>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学生对AI介入的感知需正确引导</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部分学生认为“AI帮我写完了作业”，需通过课程引导其理解AI为“认知工具”，其价值在于辅助思考、增强表达、启发批判，而非替代人脑。</w:t>
      </w:r>
    </w:p>
    <w:p w14:paraId="73400728">
      <w:pPr>
        <w:pStyle w:val="12"/>
        <w:keepNext w:val="0"/>
        <w:keepLines w:val="0"/>
        <w:widowControl/>
        <w:numPr>
          <w:ilvl w:val="0"/>
          <w:numId w:val="36"/>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教学考核方式需同步更新</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面对生成式AI带来的内容产出能力跃迁，教学评估机制亦应从“结果导向”转向“过程导向”，如强调思维路径表达、提示词构建过程记录等。</w:t>
      </w:r>
    </w:p>
    <w:p w14:paraId="014D3CB0">
      <w:pPr>
        <w:pStyle w:val="12"/>
        <w:keepNext w:val="0"/>
        <w:keepLines w:val="0"/>
        <w:widowControl/>
        <w:numPr>
          <w:ilvl w:val="0"/>
          <w:numId w:val="33"/>
        </w:numPr>
        <w:suppressLineNumbers w:val="0"/>
        <w:tabs>
          <w:tab w:val="center" w:pos="4830"/>
        </w:tabs>
        <w:rPr>
          <w:rFonts w:hint="default" w:ascii="Times New Roman Regular" w:hAnsi="Times New Roman Regular" w:cs="Times New Roman Regular" w:eastAsiaTheme="minorEastAsia"/>
          <w:kern w:val="0"/>
          <w:sz w:val="21"/>
          <w:szCs w:val="21"/>
          <w:lang w:val="en-US" w:eastAsia="zh-CN" w:bidi="ar"/>
        </w:rPr>
      </w:pPr>
      <w:r>
        <w:rPr>
          <w:rFonts w:hint="default" w:ascii="Times New Roman Regular" w:hAnsi="Times New Roman Regular" w:cs="Times New Roman Regular" w:eastAsiaTheme="minorEastAsia"/>
          <w:kern w:val="0"/>
          <w:sz w:val="21"/>
          <w:szCs w:val="21"/>
          <w:lang w:val="en-US" w:eastAsia="zh-CN" w:bidi="ar"/>
        </w:rPr>
        <w:t>发展展望：从单点突破到系统嵌入的教学新范式</w:t>
      </w:r>
    </w:p>
    <w:p w14:paraId="185D25F4">
      <w:pPr>
        <w:pStyle w:val="12"/>
        <w:keepNext w:val="0"/>
        <w:keepLines w:val="0"/>
        <w:widowControl/>
        <w:suppressLineNumbers w:val="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“比亚迪价格战”案例作为一次单点切入AIGC教学实践的示范探索，可为未来构建系统化“AI赋能经管教学框架”提供如下方向建议：</w:t>
      </w:r>
    </w:p>
    <w:p w14:paraId="6C74127E">
      <w:pPr>
        <w:pStyle w:val="12"/>
        <w:keepNext w:val="0"/>
        <w:keepLines w:val="0"/>
        <w:widowControl/>
        <w:numPr>
          <w:ilvl w:val="0"/>
          <w:numId w:val="37"/>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构建“案例+模板+工具”复合型教学单元</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将典型案例与可重复调用的教学模板结合，统一工具操作流程、输入输出规范，实现跨课程复用。</w:t>
      </w:r>
    </w:p>
    <w:p w14:paraId="788D4340">
      <w:pPr>
        <w:pStyle w:val="12"/>
        <w:keepNext w:val="0"/>
        <w:keepLines w:val="0"/>
        <w:widowControl/>
        <w:numPr>
          <w:ilvl w:val="0"/>
          <w:numId w:val="37"/>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探索学生参与AIGC提示词设计的教学模式</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鼓励学生在课题引导下尝试设计、修改提示词，形成“Prompt即认知结构”的学习观，促进深度</w:t>
      </w:r>
      <w:r>
        <w:rPr>
          <w:rFonts w:hint="eastAsia" w:ascii="Times New Roman Regular" w:hAnsi="Times New Roman Regular" w:cs="Times New Roman Regular"/>
          <w:b w:val="0"/>
          <w:sz w:val="21"/>
          <w:szCs w:val="21"/>
          <w:lang w:eastAsia="zh-CN"/>
        </w:rPr>
        <w:t>参与</w:t>
      </w:r>
      <w:r>
        <w:rPr>
          <w:rFonts w:hint="default" w:ascii="Times New Roman Regular" w:hAnsi="Times New Roman Regular" w:cs="Times New Roman Regular" w:eastAsiaTheme="minorEastAsia"/>
          <w:b w:val="0"/>
          <w:sz w:val="21"/>
          <w:szCs w:val="21"/>
        </w:rPr>
        <w:t>元认知提升。</w:t>
      </w:r>
    </w:p>
    <w:p w14:paraId="0220309E">
      <w:pPr>
        <w:pStyle w:val="12"/>
        <w:keepNext w:val="0"/>
        <w:keepLines w:val="0"/>
        <w:widowControl/>
        <w:numPr>
          <w:ilvl w:val="0"/>
          <w:numId w:val="37"/>
        </w:numPr>
        <w:suppressLineNumbers w:val="0"/>
        <w:ind w:left="840" w:leftChars="0" w:hanging="420" w:firstLineChars="0"/>
        <w:rPr>
          <w:rFonts w:hint="default" w:ascii="Times New Roman Regular" w:hAnsi="Times New Roman Regular" w:cs="Times New Roman Regular" w:eastAsiaTheme="minorEastAsia"/>
          <w:b w:val="0"/>
          <w:sz w:val="21"/>
          <w:szCs w:val="21"/>
        </w:rPr>
      </w:pPr>
      <w:r>
        <w:rPr>
          <w:rFonts w:hint="default" w:ascii="Times New Roman Regular" w:hAnsi="Times New Roman Regular" w:cs="Times New Roman Regular" w:eastAsiaTheme="minorEastAsia"/>
          <w:b w:val="0"/>
          <w:sz w:val="21"/>
          <w:szCs w:val="21"/>
        </w:rPr>
        <w:t>构建AIGC赋能教学效果评价指标体系</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基于Bloom认知目标与OBE导向，构建能量化教学成效的指标体系，如“生成内容质量评分”“提示词逻辑性评分”“AI依赖度指数”等。</w:t>
      </w:r>
    </w:p>
    <w:p w14:paraId="5B2A870D">
      <w:pPr>
        <w:pStyle w:val="12"/>
        <w:keepNext w:val="0"/>
        <w:keepLines w:val="0"/>
        <w:widowControl/>
        <w:numPr>
          <w:ilvl w:val="0"/>
          <w:numId w:val="37"/>
        </w:numPr>
        <w:suppressLineNumbers w:val="0"/>
        <w:ind w:left="840" w:leftChars="0" w:hanging="420" w:firstLineChars="0"/>
        <w:rPr>
          <w:rFonts w:hint="default" w:ascii="Times New Roman Regular" w:hAnsi="Times New Roman Regular" w:cs="Times New Roman Regular" w:eastAsiaTheme="minorEastAsia"/>
          <w:i w:val="0"/>
          <w:iCs w:val="0"/>
          <w:caps w:val="0"/>
          <w:spacing w:val="0"/>
          <w:kern w:val="0"/>
          <w:sz w:val="21"/>
          <w:szCs w:val="21"/>
          <w:shd w:val="clear" w:fill="FFFFFF"/>
          <w:lang w:val="en-US" w:eastAsia="zh-CN" w:bidi="ar"/>
        </w:rPr>
      </w:pPr>
      <w:r>
        <w:rPr>
          <w:rFonts w:hint="default" w:ascii="Times New Roman Regular" w:hAnsi="Times New Roman Regular" w:cs="Times New Roman Regular" w:eastAsiaTheme="minorEastAsia"/>
          <w:b w:val="0"/>
          <w:sz w:val="21"/>
          <w:szCs w:val="21"/>
        </w:rPr>
        <w:t>开展教师AIGC素养提升培训与平台建设</w:t>
      </w:r>
      <w:r>
        <w:rPr>
          <w:rFonts w:hint="default" w:ascii="Times New Roman Regular" w:hAnsi="Times New Roman Regular" w:cs="Times New Roman Regular" w:eastAsiaTheme="minorEastAsia"/>
          <w:b w:val="0"/>
          <w:sz w:val="21"/>
          <w:szCs w:val="21"/>
          <w:lang w:eastAsia="zh-CN"/>
        </w:rPr>
        <w:t>：</w:t>
      </w:r>
      <w:r>
        <w:rPr>
          <w:rFonts w:hint="default" w:ascii="Times New Roman Regular" w:hAnsi="Times New Roman Regular" w:cs="Times New Roman Regular" w:eastAsiaTheme="minorEastAsia"/>
          <w:b w:val="0"/>
          <w:sz w:val="21"/>
          <w:szCs w:val="21"/>
        </w:rPr>
        <w:t>建议高校经管类院系建设“教学AIGC应用工作坊”，开展定期培训与经验交流，推动从个人试用向组织协同转变。</w:t>
      </w:r>
    </w:p>
    <w:sectPr>
      <w:footerReference r:id="rId5" w:type="default"/>
      <w:pgSz w:w="11906" w:h="16838"/>
      <w:pgMar w:top="567" w:right="1106" w:bottom="567" w:left="114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汉仪楷体简">
    <w:altName w:val="宋体"/>
    <w:panose1 w:val="02010600000101010101"/>
    <w:charset w:val="86"/>
    <w:family w:val="auto"/>
    <w:pitch w:val="default"/>
    <w:sig w:usb0="00000000" w:usb1="00000000" w:usb2="00000002" w:usb3="00000000" w:csb0="00040000" w:csb1="00000000"/>
  </w:font>
  <w:font w:name="方正大黑简体">
    <w:altName w:val="黑体"/>
    <w:panose1 w:val="02010601030101010101"/>
    <w:charset w:val="86"/>
    <w:family w:val="auto"/>
    <w:pitch w:val="default"/>
    <w:sig w:usb0="00000000" w:usb1="00000000" w:usb2="00000010" w:usb3="00000000" w:csb0="00040000" w:csb1="00000000"/>
  </w:font>
  <w:font w:name="Times New Roman Regular">
    <w:altName w:val="Times New Roman"/>
    <w:panose1 w:val="02020603050405020304"/>
    <w:charset w:val="00"/>
    <w:family w:val="auto"/>
    <w:pitch w:val="default"/>
    <w:sig w:usb0="00000000" w:usb1="00000000"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1A084A">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E23EA0">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58E23EA0">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16</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20"/>
      </w:pPr>
      <w:r>
        <w:separator/>
      </w:r>
    </w:p>
  </w:footnote>
  <w:footnote w:type="continuationSeparator" w:id="1">
    <w:p>
      <w:pPr>
        <w:spacing w:line="30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664A0"/>
    <w:multiLevelType w:val="singleLevel"/>
    <w:tmpl w:val="864664A0"/>
    <w:lvl w:ilvl="0" w:tentative="0">
      <w:start w:val="1"/>
      <w:numFmt w:val="bullet"/>
      <w:lvlText w:val=""/>
      <w:lvlJc w:val="left"/>
      <w:pPr>
        <w:tabs>
          <w:tab w:val="left" w:pos="420"/>
        </w:tabs>
        <w:ind w:left="840" w:hanging="420"/>
      </w:pPr>
      <w:rPr>
        <w:rFonts w:hint="default" w:ascii="Wingdings" w:hAnsi="Wingdings"/>
      </w:rPr>
    </w:lvl>
  </w:abstractNum>
  <w:abstractNum w:abstractNumId="1">
    <w:nsid w:val="9AFD24AF"/>
    <w:multiLevelType w:val="singleLevel"/>
    <w:tmpl w:val="9AFD24AF"/>
    <w:lvl w:ilvl="0" w:tentative="0">
      <w:start w:val="1"/>
      <w:numFmt w:val="bullet"/>
      <w:lvlText w:val=""/>
      <w:lvlJc w:val="left"/>
      <w:pPr>
        <w:tabs>
          <w:tab w:val="left" w:pos="420"/>
        </w:tabs>
        <w:ind w:left="840" w:hanging="420"/>
      </w:pPr>
      <w:rPr>
        <w:rFonts w:hint="default" w:ascii="Wingdings" w:hAnsi="Wingdings"/>
      </w:rPr>
    </w:lvl>
  </w:abstractNum>
  <w:abstractNum w:abstractNumId="2">
    <w:nsid w:val="9FFCCA51"/>
    <w:multiLevelType w:val="singleLevel"/>
    <w:tmpl w:val="9FFCCA51"/>
    <w:lvl w:ilvl="0" w:tentative="0">
      <w:start w:val="1"/>
      <w:numFmt w:val="chineseCounting"/>
      <w:suff w:val="nothing"/>
      <w:lvlText w:val="（%1）"/>
      <w:lvlJc w:val="left"/>
      <w:rPr>
        <w:rFonts w:hint="eastAsia"/>
      </w:rPr>
    </w:lvl>
  </w:abstractNum>
  <w:abstractNum w:abstractNumId="3">
    <w:nsid w:val="AF1C5B93"/>
    <w:multiLevelType w:val="singleLevel"/>
    <w:tmpl w:val="AF1C5B93"/>
    <w:lvl w:ilvl="0" w:tentative="0">
      <w:start w:val="1"/>
      <w:numFmt w:val="decimal"/>
      <w:lvlText w:val="(%1)"/>
      <w:lvlJc w:val="left"/>
      <w:pPr>
        <w:ind w:left="425" w:hanging="425"/>
      </w:pPr>
      <w:rPr>
        <w:rFonts w:hint="default"/>
      </w:rPr>
    </w:lvl>
  </w:abstractNum>
  <w:abstractNum w:abstractNumId="4">
    <w:nsid w:val="B8FFFCBA"/>
    <w:multiLevelType w:val="singleLevel"/>
    <w:tmpl w:val="B8FFFCBA"/>
    <w:lvl w:ilvl="0" w:tentative="0">
      <w:start w:val="1"/>
      <w:numFmt w:val="bullet"/>
      <w:lvlText w:val=""/>
      <w:lvlJc w:val="left"/>
      <w:pPr>
        <w:tabs>
          <w:tab w:val="left" w:pos="420"/>
        </w:tabs>
        <w:ind w:left="840" w:hanging="420"/>
      </w:pPr>
      <w:rPr>
        <w:rFonts w:hint="default" w:ascii="Wingdings" w:hAnsi="Wingdings"/>
      </w:rPr>
    </w:lvl>
  </w:abstractNum>
  <w:abstractNum w:abstractNumId="5">
    <w:nsid w:val="BCACDF23"/>
    <w:multiLevelType w:val="singleLevel"/>
    <w:tmpl w:val="BCACDF23"/>
    <w:lvl w:ilvl="0" w:tentative="0">
      <w:start w:val="1"/>
      <w:numFmt w:val="bullet"/>
      <w:lvlText w:val=""/>
      <w:lvlJc w:val="left"/>
      <w:pPr>
        <w:tabs>
          <w:tab w:val="left" w:pos="420"/>
        </w:tabs>
        <w:ind w:left="840" w:hanging="420"/>
      </w:pPr>
      <w:rPr>
        <w:rFonts w:hint="default" w:ascii="Wingdings" w:hAnsi="Wingdings"/>
      </w:rPr>
    </w:lvl>
  </w:abstractNum>
  <w:abstractNum w:abstractNumId="6">
    <w:nsid w:val="BF5EC07C"/>
    <w:multiLevelType w:val="singleLevel"/>
    <w:tmpl w:val="BF5EC07C"/>
    <w:lvl w:ilvl="0" w:tentative="0">
      <w:start w:val="1"/>
      <w:numFmt w:val="bullet"/>
      <w:lvlText w:val=""/>
      <w:lvlJc w:val="left"/>
      <w:pPr>
        <w:tabs>
          <w:tab w:val="left" w:pos="420"/>
        </w:tabs>
        <w:ind w:left="840" w:hanging="420"/>
      </w:pPr>
      <w:rPr>
        <w:rFonts w:hint="default" w:ascii="Wingdings" w:hAnsi="Wingdings"/>
      </w:rPr>
    </w:lvl>
  </w:abstractNum>
  <w:abstractNum w:abstractNumId="7">
    <w:nsid w:val="BF6F02A8"/>
    <w:multiLevelType w:val="singleLevel"/>
    <w:tmpl w:val="BF6F02A8"/>
    <w:lvl w:ilvl="0" w:tentative="0">
      <w:start w:val="1"/>
      <w:numFmt w:val="bullet"/>
      <w:lvlText w:val=""/>
      <w:lvlJc w:val="left"/>
      <w:pPr>
        <w:tabs>
          <w:tab w:val="left" w:pos="0"/>
        </w:tabs>
        <w:ind w:left="420" w:hanging="420"/>
      </w:pPr>
      <w:rPr>
        <w:rFonts w:hint="default" w:ascii="Wingdings" w:hAnsi="Wingdings"/>
      </w:rPr>
    </w:lvl>
  </w:abstractNum>
  <w:abstractNum w:abstractNumId="8">
    <w:nsid w:val="DCCE6D33"/>
    <w:multiLevelType w:val="singleLevel"/>
    <w:tmpl w:val="DCCE6D33"/>
    <w:lvl w:ilvl="0" w:tentative="0">
      <w:start w:val="1"/>
      <w:numFmt w:val="decimal"/>
      <w:suff w:val="nothing"/>
      <w:lvlText w:val="%1、"/>
      <w:lvlJc w:val="left"/>
    </w:lvl>
  </w:abstractNum>
  <w:abstractNum w:abstractNumId="9">
    <w:nsid w:val="E7DDD7D4"/>
    <w:multiLevelType w:val="singleLevel"/>
    <w:tmpl w:val="E7DDD7D4"/>
    <w:lvl w:ilvl="0" w:tentative="0">
      <w:start w:val="1"/>
      <w:numFmt w:val="chineseCounting"/>
      <w:suff w:val="nothing"/>
      <w:lvlText w:val="（%1）"/>
      <w:lvlJc w:val="left"/>
      <w:rPr>
        <w:rFonts w:hint="eastAsia"/>
      </w:rPr>
    </w:lvl>
  </w:abstractNum>
  <w:abstractNum w:abstractNumId="10">
    <w:nsid w:val="E9B5E969"/>
    <w:multiLevelType w:val="singleLevel"/>
    <w:tmpl w:val="E9B5E969"/>
    <w:lvl w:ilvl="0" w:tentative="0">
      <w:start w:val="1"/>
      <w:numFmt w:val="bullet"/>
      <w:lvlText w:val=""/>
      <w:lvlJc w:val="left"/>
      <w:pPr>
        <w:tabs>
          <w:tab w:val="left" w:pos="420"/>
        </w:tabs>
        <w:ind w:left="840" w:hanging="420"/>
      </w:pPr>
      <w:rPr>
        <w:rFonts w:hint="default" w:ascii="Wingdings" w:hAnsi="Wingdings"/>
      </w:rPr>
    </w:lvl>
  </w:abstractNum>
  <w:abstractNum w:abstractNumId="11">
    <w:nsid w:val="EAB8B1B0"/>
    <w:multiLevelType w:val="singleLevel"/>
    <w:tmpl w:val="EAB8B1B0"/>
    <w:lvl w:ilvl="0" w:tentative="0">
      <w:start w:val="1"/>
      <w:numFmt w:val="decimal"/>
      <w:lvlText w:val="%1."/>
      <w:lvlJc w:val="left"/>
      <w:pPr>
        <w:tabs>
          <w:tab w:val="left" w:pos="420"/>
        </w:tabs>
        <w:ind w:left="845" w:hanging="425"/>
      </w:pPr>
      <w:rPr>
        <w:rFonts w:hint="default"/>
      </w:rPr>
    </w:lvl>
  </w:abstractNum>
  <w:abstractNum w:abstractNumId="12">
    <w:nsid w:val="EBBF74CF"/>
    <w:multiLevelType w:val="singleLevel"/>
    <w:tmpl w:val="EBBF74CF"/>
    <w:lvl w:ilvl="0" w:tentative="0">
      <w:start w:val="1"/>
      <w:numFmt w:val="bullet"/>
      <w:lvlText w:val=""/>
      <w:lvlJc w:val="left"/>
      <w:pPr>
        <w:tabs>
          <w:tab w:val="left" w:pos="420"/>
        </w:tabs>
        <w:ind w:left="840" w:hanging="420"/>
      </w:pPr>
      <w:rPr>
        <w:rFonts w:hint="default" w:ascii="Wingdings" w:hAnsi="Wingdings"/>
      </w:rPr>
    </w:lvl>
  </w:abstractNum>
  <w:abstractNum w:abstractNumId="13">
    <w:nsid w:val="EEFEED39"/>
    <w:multiLevelType w:val="singleLevel"/>
    <w:tmpl w:val="EEFEED39"/>
    <w:lvl w:ilvl="0" w:tentative="0">
      <w:start w:val="1"/>
      <w:numFmt w:val="decimal"/>
      <w:suff w:val="space"/>
      <w:lvlText w:val="%1."/>
      <w:lvlJc w:val="left"/>
    </w:lvl>
  </w:abstractNum>
  <w:abstractNum w:abstractNumId="14">
    <w:nsid w:val="EF74EACD"/>
    <w:multiLevelType w:val="singleLevel"/>
    <w:tmpl w:val="EF74EACD"/>
    <w:lvl w:ilvl="0" w:tentative="0">
      <w:start w:val="1"/>
      <w:numFmt w:val="bullet"/>
      <w:lvlText w:val=""/>
      <w:lvlJc w:val="left"/>
      <w:pPr>
        <w:tabs>
          <w:tab w:val="left" w:pos="420"/>
        </w:tabs>
        <w:ind w:left="840" w:hanging="420"/>
      </w:pPr>
      <w:rPr>
        <w:rFonts w:hint="default" w:ascii="Wingdings" w:hAnsi="Wingdings"/>
      </w:rPr>
    </w:lvl>
  </w:abstractNum>
  <w:abstractNum w:abstractNumId="15">
    <w:nsid w:val="F7EE862D"/>
    <w:multiLevelType w:val="singleLevel"/>
    <w:tmpl w:val="F7EE862D"/>
    <w:lvl w:ilvl="0" w:tentative="0">
      <w:start w:val="1"/>
      <w:numFmt w:val="bullet"/>
      <w:lvlText w:val=""/>
      <w:lvlJc w:val="left"/>
      <w:pPr>
        <w:tabs>
          <w:tab w:val="left" w:pos="420"/>
        </w:tabs>
        <w:ind w:left="840" w:hanging="420"/>
      </w:pPr>
      <w:rPr>
        <w:rFonts w:hint="default" w:ascii="Wingdings" w:hAnsi="Wingdings"/>
      </w:rPr>
    </w:lvl>
  </w:abstractNum>
  <w:abstractNum w:abstractNumId="16">
    <w:nsid w:val="F7FF0EED"/>
    <w:multiLevelType w:val="singleLevel"/>
    <w:tmpl w:val="F7FF0EED"/>
    <w:lvl w:ilvl="0" w:tentative="0">
      <w:start w:val="1"/>
      <w:numFmt w:val="bullet"/>
      <w:lvlText w:val=""/>
      <w:lvlJc w:val="left"/>
      <w:pPr>
        <w:tabs>
          <w:tab w:val="left" w:pos="840"/>
        </w:tabs>
        <w:ind w:left="1260" w:hanging="420"/>
      </w:pPr>
      <w:rPr>
        <w:rFonts w:hint="default" w:ascii="Wingdings" w:hAnsi="Wingdings"/>
      </w:rPr>
    </w:lvl>
  </w:abstractNum>
  <w:abstractNum w:abstractNumId="17">
    <w:nsid w:val="FA5F6CA1"/>
    <w:multiLevelType w:val="singleLevel"/>
    <w:tmpl w:val="FA5F6CA1"/>
    <w:lvl w:ilvl="0" w:tentative="0">
      <w:start w:val="1"/>
      <w:numFmt w:val="bullet"/>
      <w:lvlText w:val=""/>
      <w:lvlJc w:val="left"/>
      <w:pPr>
        <w:tabs>
          <w:tab w:val="left" w:pos="420"/>
        </w:tabs>
        <w:ind w:left="840" w:hanging="420"/>
      </w:pPr>
      <w:rPr>
        <w:rFonts w:hint="default" w:ascii="Wingdings" w:hAnsi="Wingdings"/>
      </w:rPr>
    </w:lvl>
  </w:abstractNum>
  <w:abstractNum w:abstractNumId="18">
    <w:nsid w:val="FABFF6A2"/>
    <w:multiLevelType w:val="singleLevel"/>
    <w:tmpl w:val="FABFF6A2"/>
    <w:lvl w:ilvl="0" w:tentative="0">
      <w:start w:val="1"/>
      <w:numFmt w:val="chineseCounting"/>
      <w:suff w:val="nothing"/>
      <w:lvlText w:val="（%1）"/>
      <w:lvlJc w:val="left"/>
      <w:rPr>
        <w:rFonts w:hint="eastAsia"/>
      </w:rPr>
    </w:lvl>
  </w:abstractNum>
  <w:abstractNum w:abstractNumId="19">
    <w:nsid w:val="FBEA1358"/>
    <w:multiLevelType w:val="singleLevel"/>
    <w:tmpl w:val="FBEA1358"/>
    <w:lvl w:ilvl="0" w:tentative="0">
      <w:start w:val="1"/>
      <w:numFmt w:val="bullet"/>
      <w:lvlText w:val=""/>
      <w:lvlJc w:val="left"/>
      <w:pPr>
        <w:tabs>
          <w:tab w:val="left" w:pos="840"/>
        </w:tabs>
        <w:ind w:left="1260" w:hanging="420"/>
      </w:pPr>
      <w:rPr>
        <w:rFonts w:hint="default" w:ascii="Wingdings" w:hAnsi="Wingdings"/>
      </w:rPr>
    </w:lvl>
  </w:abstractNum>
  <w:abstractNum w:abstractNumId="20">
    <w:nsid w:val="FBF0E2D1"/>
    <w:multiLevelType w:val="singleLevel"/>
    <w:tmpl w:val="FBF0E2D1"/>
    <w:lvl w:ilvl="0" w:tentative="0">
      <w:start w:val="1"/>
      <w:numFmt w:val="bullet"/>
      <w:lvlText w:val=""/>
      <w:lvlJc w:val="left"/>
      <w:pPr>
        <w:tabs>
          <w:tab w:val="left" w:pos="420"/>
        </w:tabs>
        <w:ind w:left="840" w:hanging="420"/>
      </w:pPr>
      <w:rPr>
        <w:rFonts w:hint="default" w:ascii="Wingdings" w:hAnsi="Wingdings"/>
      </w:rPr>
    </w:lvl>
  </w:abstractNum>
  <w:abstractNum w:abstractNumId="21">
    <w:nsid w:val="FCBF0FDC"/>
    <w:multiLevelType w:val="singleLevel"/>
    <w:tmpl w:val="FCBF0FDC"/>
    <w:lvl w:ilvl="0" w:tentative="0">
      <w:start w:val="1"/>
      <w:numFmt w:val="bullet"/>
      <w:lvlText w:val=""/>
      <w:lvlJc w:val="left"/>
      <w:pPr>
        <w:tabs>
          <w:tab w:val="left" w:pos="420"/>
        </w:tabs>
        <w:ind w:left="840" w:hanging="420"/>
      </w:pPr>
      <w:rPr>
        <w:rFonts w:hint="default" w:ascii="Wingdings" w:hAnsi="Wingdings"/>
      </w:rPr>
    </w:lvl>
  </w:abstractNum>
  <w:abstractNum w:abstractNumId="22">
    <w:nsid w:val="FF23B15E"/>
    <w:multiLevelType w:val="singleLevel"/>
    <w:tmpl w:val="FF23B15E"/>
    <w:lvl w:ilvl="0" w:tentative="0">
      <w:start w:val="1"/>
      <w:numFmt w:val="bullet"/>
      <w:lvlText w:val=""/>
      <w:lvlJc w:val="left"/>
      <w:pPr>
        <w:tabs>
          <w:tab w:val="left" w:pos="420"/>
        </w:tabs>
        <w:ind w:left="840" w:hanging="420"/>
      </w:pPr>
      <w:rPr>
        <w:rFonts w:hint="default" w:ascii="Wingdings" w:hAnsi="Wingdings"/>
      </w:rPr>
    </w:lvl>
  </w:abstractNum>
  <w:abstractNum w:abstractNumId="23">
    <w:nsid w:val="FF706E4D"/>
    <w:multiLevelType w:val="singleLevel"/>
    <w:tmpl w:val="FF706E4D"/>
    <w:lvl w:ilvl="0" w:tentative="0">
      <w:start w:val="1"/>
      <w:numFmt w:val="decimal"/>
      <w:lvlText w:val="%1)"/>
      <w:lvlJc w:val="left"/>
      <w:pPr>
        <w:tabs>
          <w:tab w:val="left" w:pos="840"/>
        </w:tabs>
        <w:ind w:left="1265" w:hanging="425"/>
      </w:pPr>
      <w:rPr>
        <w:rFonts w:hint="default"/>
      </w:rPr>
    </w:lvl>
  </w:abstractNum>
  <w:abstractNum w:abstractNumId="24">
    <w:nsid w:val="FF9E5F7C"/>
    <w:multiLevelType w:val="singleLevel"/>
    <w:tmpl w:val="FF9E5F7C"/>
    <w:lvl w:ilvl="0" w:tentative="0">
      <w:start w:val="1"/>
      <w:numFmt w:val="bullet"/>
      <w:lvlText w:val=""/>
      <w:lvlJc w:val="left"/>
      <w:pPr>
        <w:tabs>
          <w:tab w:val="left" w:pos="420"/>
        </w:tabs>
        <w:ind w:left="840" w:hanging="420"/>
      </w:pPr>
      <w:rPr>
        <w:rFonts w:hint="default" w:ascii="Wingdings" w:hAnsi="Wingdings"/>
      </w:rPr>
    </w:lvl>
  </w:abstractNum>
  <w:abstractNum w:abstractNumId="25">
    <w:nsid w:val="FFDFC719"/>
    <w:multiLevelType w:val="singleLevel"/>
    <w:tmpl w:val="FFDFC719"/>
    <w:lvl w:ilvl="0" w:tentative="0">
      <w:start w:val="1"/>
      <w:numFmt w:val="chineseCounting"/>
      <w:suff w:val="nothing"/>
      <w:lvlText w:val="（%1）"/>
      <w:lvlJc w:val="left"/>
      <w:rPr>
        <w:rFonts w:hint="eastAsia"/>
      </w:rPr>
    </w:lvl>
  </w:abstractNum>
  <w:abstractNum w:abstractNumId="26">
    <w:nsid w:val="17DEA8A6"/>
    <w:multiLevelType w:val="singleLevel"/>
    <w:tmpl w:val="17DEA8A6"/>
    <w:lvl w:ilvl="0" w:tentative="0">
      <w:start w:val="1"/>
      <w:numFmt w:val="chineseCounting"/>
      <w:suff w:val="nothing"/>
      <w:lvlText w:val="（%1）"/>
      <w:lvlJc w:val="left"/>
      <w:rPr>
        <w:rFonts w:hint="eastAsia"/>
      </w:rPr>
    </w:lvl>
  </w:abstractNum>
  <w:abstractNum w:abstractNumId="27">
    <w:nsid w:val="3BFE02F6"/>
    <w:multiLevelType w:val="singleLevel"/>
    <w:tmpl w:val="3BFE02F6"/>
    <w:lvl w:ilvl="0" w:tentative="0">
      <w:start w:val="1"/>
      <w:numFmt w:val="bullet"/>
      <w:lvlText w:val=""/>
      <w:lvlJc w:val="left"/>
      <w:pPr>
        <w:tabs>
          <w:tab w:val="left" w:pos="420"/>
        </w:tabs>
        <w:ind w:left="840" w:hanging="420"/>
      </w:pPr>
      <w:rPr>
        <w:rFonts w:hint="default" w:ascii="Wingdings" w:hAnsi="Wingdings"/>
      </w:rPr>
    </w:lvl>
  </w:abstractNum>
  <w:abstractNum w:abstractNumId="28">
    <w:nsid w:val="3BFE5019"/>
    <w:multiLevelType w:val="singleLevel"/>
    <w:tmpl w:val="3BFE5019"/>
    <w:lvl w:ilvl="0" w:tentative="0">
      <w:start w:val="1"/>
      <w:numFmt w:val="bullet"/>
      <w:lvlText w:val=""/>
      <w:lvlJc w:val="left"/>
      <w:pPr>
        <w:tabs>
          <w:tab w:val="left" w:pos="420"/>
        </w:tabs>
        <w:ind w:left="840" w:hanging="420"/>
      </w:pPr>
      <w:rPr>
        <w:rFonts w:hint="default" w:ascii="Wingdings" w:hAnsi="Wingdings"/>
      </w:rPr>
    </w:lvl>
  </w:abstractNum>
  <w:abstractNum w:abstractNumId="29">
    <w:nsid w:val="3D3FC5D1"/>
    <w:multiLevelType w:val="singleLevel"/>
    <w:tmpl w:val="3D3FC5D1"/>
    <w:lvl w:ilvl="0" w:tentative="0">
      <w:start w:val="1"/>
      <w:numFmt w:val="bullet"/>
      <w:lvlText w:val=""/>
      <w:lvlJc w:val="left"/>
      <w:pPr>
        <w:tabs>
          <w:tab w:val="left" w:pos="0"/>
        </w:tabs>
        <w:ind w:left="420" w:hanging="420"/>
      </w:pPr>
      <w:rPr>
        <w:rFonts w:hint="default" w:ascii="Wingdings" w:hAnsi="Wingdings"/>
      </w:rPr>
    </w:lvl>
  </w:abstractNum>
  <w:abstractNum w:abstractNumId="30">
    <w:nsid w:val="3F7CD5AB"/>
    <w:multiLevelType w:val="singleLevel"/>
    <w:tmpl w:val="3F7CD5AB"/>
    <w:lvl w:ilvl="0" w:tentative="0">
      <w:start w:val="1"/>
      <w:numFmt w:val="decimal"/>
      <w:suff w:val="space"/>
      <w:lvlText w:val="(%1)"/>
      <w:lvlJc w:val="left"/>
    </w:lvl>
  </w:abstractNum>
  <w:abstractNum w:abstractNumId="31">
    <w:nsid w:val="59F80E89"/>
    <w:multiLevelType w:val="singleLevel"/>
    <w:tmpl w:val="59F80E89"/>
    <w:lvl w:ilvl="0" w:tentative="0">
      <w:start w:val="1"/>
      <w:numFmt w:val="decimal"/>
      <w:lvlText w:val="%1."/>
      <w:lvlJc w:val="left"/>
      <w:pPr>
        <w:tabs>
          <w:tab w:val="left" w:pos="420"/>
        </w:tabs>
        <w:ind w:left="845" w:hanging="425"/>
      </w:pPr>
      <w:rPr>
        <w:rFonts w:hint="default"/>
      </w:rPr>
    </w:lvl>
  </w:abstractNum>
  <w:abstractNum w:abstractNumId="32">
    <w:nsid w:val="5DC88075"/>
    <w:multiLevelType w:val="singleLevel"/>
    <w:tmpl w:val="5DC88075"/>
    <w:lvl w:ilvl="0" w:tentative="0">
      <w:start w:val="1"/>
      <w:numFmt w:val="decimal"/>
      <w:suff w:val="space"/>
      <w:lvlText w:val="(%1)"/>
      <w:lvlJc w:val="left"/>
    </w:lvl>
  </w:abstractNum>
  <w:abstractNum w:abstractNumId="33">
    <w:nsid w:val="6FB63961"/>
    <w:multiLevelType w:val="singleLevel"/>
    <w:tmpl w:val="6FB63961"/>
    <w:lvl w:ilvl="0" w:tentative="0">
      <w:start w:val="1"/>
      <w:numFmt w:val="bullet"/>
      <w:lvlText w:val=""/>
      <w:lvlJc w:val="left"/>
      <w:pPr>
        <w:tabs>
          <w:tab w:val="left" w:pos="0"/>
        </w:tabs>
        <w:ind w:left="420" w:hanging="420"/>
      </w:pPr>
      <w:rPr>
        <w:rFonts w:hint="default" w:ascii="Wingdings" w:hAnsi="Wingdings"/>
      </w:rPr>
    </w:lvl>
  </w:abstractNum>
  <w:abstractNum w:abstractNumId="34">
    <w:nsid w:val="6FF3E8BF"/>
    <w:multiLevelType w:val="singleLevel"/>
    <w:tmpl w:val="6FF3E8BF"/>
    <w:lvl w:ilvl="0" w:tentative="0">
      <w:start w:val="1"/>
      <w:numFmt w:val="decimal"/>
      <w:lvlText w:val="%1."/>
      <w:lvlJc w:val="left"/>
      <w:pPr>
        <w:tabs>
          <w:tab w:val="left" w:pos="420"/>
        </w:tabs>
        <w:ind w:left="845" w:hanging="425"/>
      </w:pPr>
      <w:rPr>
        <w:rFonts w:hint="default"/>
      </w:rPr>
    </w:lvl>
  </w:abstractNum>
  <w:abstractNum w:abstractNumId="35">
    <w:nsid w:val="7B6CDF7F"/>
    <w:multiLevelType w:val="singleLevel"/>
    <w:tmpl w:val="7B6CDF7F"/>
    <w:lvl w:ilvl="0" w:tentative="0">
      <w:start w:val="1"/>
      <w:numFmt w:val="bullet"/>
      <w:lvlText w:val=""/>
      <w:lvlJc w:val="left"/>
      <w:pPr>
        <w:tabs>
          <w:tab w:val="left" w:pos="420"/>
        </w:tabs>
        <w:ind w:left="840" w:hanging="420"/>
      </w:pPr>
      <w:rPr>
        <w:rFonts w:hint="default" w:ascii="Wingdings" w:hAnsi="Wingdings"/>
      </w:rPr>
    </w:lvl>
  </w:abstractNum>
  <w:abstractNum w:abstractNumId="36">
    <w:nsid w:val="7FFC8D96"/>
    <w:multiLevelType w:val="singleLevel"/>
    <w:tmpl w:val="7FFC8D96"/>
    <w:lvl w:ilvl="0" w:tentative="0">
      <w:start w:val="1"/>
      <w:numFmt w:val="chineseCounting"/>
      <w:suff w:val="nothing"/>
      <w:lvlText w:val="（%1）"/>
      <w:lvlJc w:val="left"/>
      <w:rPr>
        <w:rFonts w:hint="eastAsia"/>
      </w:rPr>
    </w:lvl>
  </w:abstractNum>
  <w:num w:numId="1">
    <w:abstractNumId w:val="3"/>
  </w:num>
  <w:num w:numId="2">
    <w:abstractNumId w:val="32"/>
  </w:num>
  <w:num w:numId="3">
    <w:abstractNumId w:val="30"/>
  </w:num>
  <w:num w:numId="4">
    <w:abstractNumId w:val="27"/>
  </w:num>
  <w:num w:numId="5">
    <w:abstractNumId w:val="13"/>
  </w:num>
  <w:num w:numId="6">
    <w:abstractNumId w:val="14"/>
  </w:num>
  <w:num w:numId="7">
    <w:abstractNumId w:val="0"/>
  </w:num>
  <w:num w:numId="8">
    <w:abstractNumId w:val="8"/>
  </w:num>
  <w:num w:numId="9">
    <w:abstractNumId w:val="10"/>
  </w:num>
  <w:num w:numId="10">
    <w:abstractNumId w:val="34"/>
  </w:num>
  <w:num w:numId="11">
    <w:abstractNumId w:val="31"/>
  </w:num>
  <w:num w:numId="12">
    <w:abstractNumId w:val="24"/>
  </w:num>
  <w:num w:numId="13">
    <w:abstractNumId w:val="1"/>
  </w:num>
  <w:num w:numId="14">
    <w:abstractNumId w:val="9"/>
  </w:num>
  <w:num w:numId="15">
    <w:abstractNumId w:val="6"/>
  </w:num>
  <w:num w:numId="16">
    <w:abstractNumId w:val="17"/>
  </w:num>
  <w:num w:numId="17">
    <w:abstractNumId w:val="18"/>
  </w:num>
  <w:num w:numId="18">
    <w:abstractNumId w:val="4"/>
  </w:num>
  <w:num w:numId="19">
    <w:abstractNumId w:val="36"/>
  </w:num>
  <w:num w:numId="20">
    <w:abstractNumId w:val="11"/>
  </w:num>
  <w:num w:numId="21">
    <w:abstractNumId w:val="2"/>
  </w:num>
  <w:num w:numId="22">
    <w:abstractNumId w:val="19"/>
  </w:num>
  <w:num w:numId="23">
    <w:abstractNumId w:val="25"/>
  </w:num>
  <w:num w:numId="24">
    <w:abstractNumId w:val="22"/>
  </w:num>
  <w:num w:numId="25">
    <w:abstractNumId w:val="23"/>
  </w:num>
  <w:num w:numId="26">
    <w:abstractNumId w:val="29"/>
  </w:num>
  <w:num w:numId="27">
    <w:abstractNumId w:val="33"/>
  </w:num>
  <w:num w:numId="28">
    <w:abstractNumId w:val="7"/>
  </w:num>
  <w:num w:numId="29">
    <w:abstractNumId w:val="16"/>
  </w:num>
  <w:num w:numId="30">
    <w:abstractNumId w:val="28"/>
  </w:num>
  <w:num w:numId="31">
    <w:abstractNumId w:val="20"/>
  </w:num>
  <w:num w:numId="32">
    <w:abstractNumId w:val="15"/>
  </w:num>
  <w:num w:numId="33">
    <w:abstractNumId w:val="26"/>
  </w:num>
  <w:num w:numId="34">
    <w:abstractNumId w:val="21"/>
  </w:num>
  <w:num w:numId="35">
    <w:abstractNumId w:val="5"/>
  </w:num>
  <w:num w:numId="36">
    <w:abstractNumId w:val="12"/>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1866666B"/>
    <w:rsid w:val="005F3E99"/>
    <w:rsid w:val="00643BE3"/>
    <w:rsid w:val="00CF6AE4"/>
    <w:rsid w:val="00D5063D"/>
    <w:rsid w:val="014C4DA3"/>
    <w:rsid w:val="015A0D9E"/>
    <w:rsid w:val="01CF5BA0"/>
    <w:rsid w:val="01D408F4"/>
    <w:rsid w:val="02385327"/>
    <w:rsid w:val="033E6170"/>
    <w:rsid w:val="035F00E8"/>
    <w:rsid w:val="03C30C20"/>
    <w:rsid w:val="041D47D5"/>
    <w:rsid w:val="04754611"/>
    <w:rsid w:val="058A40EC"/>
    <w:rsid w:val="0619721E"/>
    <w:rsid w:val="06231E4A"/>
    <w:rsid w:val="06550793"/>
    <w:rsid w:val="06BF3FA4"/>
    <w:rsid w:val="0817778D"/>
    <w:rsid w:val="09414AC1"/>
    <w:rsid w:val="09586F15"/>
    <w:rsid w:val="09C63C0E"/>
    <w:rsid w:val="0A12645E"/>
    <w:rsid w:val="0A1F5728"/>
    <w:rsid w:val="0A782765"/>
    <w:rsid w:val="0ABF65E6"/>
    <w:rsid w:val="0B241343"/>
    <w:rsid w:val="0CFFB657"/>
    <w:rsid w:val="0D183D8B"/>
    <w:rsid w:val="0D49663A"/>
    <w:rsid w:val="0DBE0DD6"/>
    <w:rsid w:val="0ED85EC8"/>
    <w:rsid w:val="0F7FCAE3"/>
    <w:rsid w:val="0FA55DA1"/>
    <w:rsid w:val="100C18F4"/>
    <w:rsid w:val="1170063A"/>
    <w:rsid w:val="117F262B"/>
    <w:rsid w:val="13217712"/>
    <w:rsid w:val="137D5290"/>
    <w:rsid w:val="13A97E33"/>
    <w:rsid w:val="13AE71F7"/>
    <w:rsid w:val="15035321"/>
    <w:rsid w:val="152C5BBD"/>
    <w:rsid w:val="15591528"/>
    <w:rsid w:val="15791A87"/>
    <w:rsid w:val="159B19FD"/>
    <w:rsid w:val="16063A6B"/>
    <w:rsid w:val="161A0B74"/>
    <w:rsid w:val="16EF3466"/>
    <w:rsid w:val="175207E1"/>
    <w:rsid w:val="18171524"/>
    <w:rsid w:val="18300055"/>
    <w:rsid w:val="1831640E"/>
    <w:rsid w:val="184A3267"/>
    <w:rsid w:val="1866666B"/>
    <w:rsid w:val="19614D0C"/>
    <w:rsid w:val="19734D6E"/>
    <w:rsid w:val="19E51499"/>
    <w:rsid w:val="1A18248F"/>
    <w:rsid w:val="1AD75285"/>
    <w:rsid w:val="1BABCDEB"/>
    <w:rsid w:val="1BB33F3C"/>
    <w:rsid w:val="1BD91974"/>
    <w:rsid w:val="1BDD7FDB"/>
    <w:rsid w:val="1BEA548C"/>
    <w:rsid w:val="1BFC2ACA"/>
    <w:rsid w:val="1C0302FC"/>
    <w:rsid w:val="1E222CBC"/>
    <w:rsid w:val="1E9177DB"/>
    <w:rsid w:val="1EF206F1"/>
    <w:rsid w:val="1F1F489E"/>
    <w:rsid w:val="1F5F2731"/>
    <w:rsid w:val="1F811C64"/>
    <w:rsid w:val="1F941997"/>
    <w:rsid w:val="1FBF511C"/>
    <w:rsid w:val="204D3D8C"/>
    <w:rsid w:val="20DA787E"/>
    <w:rsid w:val="211C60E8"/>
    <w:rsid w:val="213D1BBA"/>
    <w:rsid w:val="21BC51D5"/>
    <w:rsid w:val="21D206DA"/>
    <w:rsid w:val="21EB5ABA"/>
    <w:rsid w:val="23052BAC"/>
    <w:rsid w:val="232E0996"/>
    <w:rsid w:val="234F5BD5"/>
    <w:rsid w:val="241C63FF"/>
    <w:rsid w:val="245E07C6"/>
    <w:rsid w:val="246D6A53"/>
    <w:rsid w:val="259E5CE4"/>
    <w:rsid w:val="266D4CF0"/>
    <w:rsid w:val="269C147E"/>
    <w:rsid w:val="27CC2823"/>
    <w:rsid w:val="284B1209"/>
    <w:rsid w:val="29946A38"/>
    <w:rsid w:val="2A550BF7"/>
    <w:rsid w:val="2B7E526F"/>
    <w:rsid w:val="2B7F4B45"/>
    <w:rsid w:val="2BF0264B"/>
    <w:rsid w:val="2C3047F6"/>
    <w:rsid w:val="2D947006"/>
    <w:rsid w:val="2D9F20B4"/>
    <w:rsid w:val="2E0D3D86"/>
    <w:rsid w:val="2E4C55F4"/>
    <w:rsid w:val="2EFBD63C"/>
    <w:rsid w:val="2F745341"/>
    <w:rsid w:val="2F774929"/>
    <w:rsid w:val="2FD24207"/>
    <w:rsid w:val="2FFD7F62"/>
    <w:rsid w:val="30AB4D93"/>
    <w:rsid w:val="315F4B04"/>
    <w:rsid w:val="31AA6DF8"/>
    <w:rsid w:val="323808A8"/>
    <w:rsid w:val="3264344B"/>
    <w:rsid w:val="32B12408"/>
    <w:rsid w:val="336E20A7"/>
    <w:rsid w:val="346F3546"/>
    <w:rsid w:val="34B47F8E"/>
    <w:rsid w:val="34CE72A2"/>
    <w:rsid w:val="34E40873"/>
    <w:rsid w:val="352670DE"/>
    <w:rsid w:val="36857E34"/>
    <w:rsid w:val="369736C3"/>
    <w:rsid w:val="36C7728B"/>
    <w:rsid w:val="36D30B9F"/>
    <w:rsid w:val="36FF22BE"/>
    <w:rsid w:val="37144D14"/>
    <w:rsid w:val="376E2676"/>
    <w:rsid w:val="378620B5"/>
    <w:rsid w:val="37DFEC01"/>
    <w:rsid w:val="38877E6F"/>
    <w:rsid w:val="39453DEE"/>
    <w:rsid w:val="3965F0B1"/>
    <w:rsid w:val="396C0E37"/>
    <w:rsid w:val="39755342"/>
    <w:rsid w:val="39837D6F"/>
    <w:rsid w:val="39DFCD7E"/>
    <w:rsid w:val="3A59585F"/>
    <w:rsid w:val="3C14667A"/>
    <w:rsid w:val="3C686D9E"/>
    <w:rsid w:val="3C7C2500"/>
    <w:rsid w:val="3CBBEF3F"/>
    <w:rsid w:val="3CF51DE6"/>
    <w:rsid w:val="3D1D0DC6"/>
    <w:rsid w:val="3D7D26A9"/>
    <w:rsid w:val="3E2B27DE"/>
    <w:rsid w:val="3E704A91"/>
    <w:rsid w:val="3E9F006A"/>
    <w:rsid w:val="3EA5D246"/>
    <w:rsid w:val="3EEFF84F"/>
    <w:rsid w:val="3F1B1335"/>
    <w:rsid w:val="3F322760"/>
    <w:rsid w:val="3FCFA8F7"/>
    <w:rsid w:val="3FDE03CF"/>
    <w:rsid w:val="3FF12096"/>
    <w:rsid w:val="3FFB1489"/>
    <w:rsid w:val="40227ED0"/>
    <w:rsid w:val="40436D96"/>
    <w:rsid w:val="405F6AA7"/>
    <w:rsid w:val="40A47108"/>
    <w:rsid w:val="412C5173"/>
    <w:rsid w:val="41553709"/>
    <w:rsid w:val="4204345E"/>
    <w:rsid w:val="420E33D3"/>
    <w:rsid w:val="42196EE1"/>
    <w:rsid w:val="42611755"/>
    <w:rsid w:val="43082F30"/>
    <w:rsid w:val="4374370A"/>
    <w:rsid w:val="44CE7C56"/>
    <w:rsid w:val="45484528"/>
    <w:rsid w:val="45B63B66"/>
    <w:rsid w:val="469A5235"/>
    <w:rsid w:val="470C1A1B"/>
    <w:rsid w:val="47217705"/>
    <w:rsid w:val="47975C19"/>
    <w:rsid w:val="47E744AA"/>
    <w:rsid w:val="47E98866"/>
    <w:rsid w:val="47ED30A7"/>
    <w:rsid w:val="49C2488D"/>
    <w:rsid w:val="49E35145"/>
    <w:rsid w:val="4A056E6A"/>
    <w:rsid w:val="4A0A4480"/>
    <w:rsid w:val="4A3728B1"/>
    <w:rsid w:val="4A427F5A"/>
    <w:rsid w:val="4A5D4EF8"/>
    <w:rsid w:val="4A934476"/>
    <w:rsid w:val="4AF36B98"/>
    <w:rsid w:val="4B897627"/>
    <w:rsid w:val="4C961158"/>
    <w:rsid w:val="4C9B5937"/>
    <w:rsid w:val="4CE13719"/>
    <w:rsid w:val="4D4E28D6"/>
    <w:rsid w:val="4DFB6BF6"/>
    <w:rsid w:val="4E656129"/>
    <w:rsid w:val="4EA330F5"/>
    <w:rsid w:val="4FB35E42"/>
    <w:rsid w:val="4FB70C06"/>
    <w:rsid w:val="508D1967"/>
    <w:rsid w:val="50BF3809"/>
    <w:rsid w:val="50D354C7"/>
    <w:rsid w:val="526F55DB"/>
    <w:rsid w:val="527E5A0B"/>
    <w:rsid w:val="535D7DC9"/>
    <w:rsid w:val="53803A05"/>
    <w:rsid w:val="541D74A6"/>
    <w:rsid w:val="54206B6D"/>
    <w:rsid w:val="558275C0"/>
    <w:rsid w:val="55D703C1"/>
    <w:rsid w:val="56572662"/>
    <w:rsid w:val="56C45753"/>
    <w:rsid w:val="571D2592"/>
    <w:rsid w:val="577323F2"/>
    <w:rsid w:val="58705DF6"/>
    <w:rsid w:val="58B8154B"/>
    <w:rsid w:val="58C6010C"/>
    <w:rsid w:val="59EF1724"/>
    <w:rsid w:val="59F7842B"/>
    <w:rsid w:val="5A366BCB"/>
    <w:rsid w:val="5AE86ED8"/>
    <w:rsid w:val="5B027F45"/>
    <w:rsid w:val="5BA069F2"/>
    <w:rsid w:val="5C2B0935"/>
    <w:rsid w:val="5CEE76E3"/>
    <w:rsid w:val="5CFF599B"/>
    <w:rsid w:val="5D380EAD"/>
    <w:rsid w:val="5D3D1127"/>
    <w:rsid w:val="5DBCFB6B"/>
    <w:rsid w:val="5DDD0B18"/>
    <w:rsid w:val="5E77E062"/>
    <w:rsid w:val="5F273F88"/>
    <w:rsid w:val="5F66B621"/>
    <w:rsid w:val="5FBDFEF8"/>
    <w:rsid w:val="5FCB83ED"/>
    <w:rsid w:val="5FEF1CF6"/>
    <w:rsid w:val="5FEF2B7A"/>
    <w:rsid w:val="5FFA1B4F"/>
    <w:rsid w:val="5FFEC5F4"/>
    <w:rsid w:val="60E43825"/>
    <w:rsid w:val="61F10167"/>
    <w:rsid w:val="61FD451C"/>
    <w:rsid w:val="62210161"/>
    <w:rsid w:val="62E33669"/>
    <w:rsid w:val="633D6984"/>
    <w:rsid w:val="63506F50"/>
    <w:rsid w:val="63BF7C32"/>
    <w:rsid w:val="63FF4622"/>
    <w:rsid w:val="657941DC"/>
    <w:rsid w:val="65FF6A0B"/>
    <w:rsid w:val="66214BD4"/>
    <w:rsid w:val="6632293D"/>
    <w:rsid w:val="6650370B"/>
    <w:rsid w:val="66D71736"/>
    <w:rsid w:val="66F4444A"/>
    <w:rsid w:val="675FDC84"/>
    <w:rsid w:val="67BE7FA3"/>
    <w:rsid w:val="68677823"/>
    <w:rsid w:val="68BDACCB"/>
    <w:rsid w:val="694F75FC"/>
    <w:rsid w:val="69825989"/>
    <w:rsid w:val="6A154A4F"/>
    <w:rsid w:val="6A1D1E0A"/>
    <w:rsid w:val="6AC00E5F"/>
    <w:rsid w:val="6AE64EA0"/>
    <w:rsid w:val="6B575844"/>
    <w:rsid w:val="6BCE5274"/>
    <w:rsid w:val="6BFF4824"/>
    <w:rsid w:val="6C270A6A"/>
    <w:rsid w:val="6D016AE3"/>
    <w:rsid w:val="6D401DE3"/>
    <w:rsid w:val="6D4B2536"/>
    <w:rsid w:val="6D534268"/>
    <w:rsid w:val="6D5EA515"/>
    <w:rsid w:val="6D7FD88C"/>
    <w:rsid w:val="6DB14A8F"/>
    <w:rsid w:val="6DB63E53"/>
    <w:rsid w:val="6DBB26B1"/>
    <w:rsid w:val="6DCF3167"/>
    <w:rsid w:val="6E0256C0"/>
    <w:rsid w:val="6E25466E"/>
    <w:rsid w:val="6E565636"/>
    <w:rsid w:val="6E6733A0"/>
    <w:rsid w:val="6F03667C"/>
    <w:rsid w:val="6FBA9348"/>
    <w:rsid w:val="6FBF8166"/>
    <w:rsid w:val="6FFA3192"/>
    <w:rsid w:val="6FFD98F5"/>
    <w:rsid w:val="70D31D1D"/>
    <w:rsid w:val="70E70BD7"/>
    <w:rsid w:val="70F15E94"/>
    <w:rsid w:val="710504E1"/>
    <w:rsid w:val="71535E5D"/>
    <w:rsid w:val="71632984"/>
    <w:rsid w:val="71BA7C8A"/>
    <w:rsid w:val="72C2773E"/>
    <w:rsid w:val="73013DC3"/>
    <w:rsid w:val="730833A3"/>
    <w:rsid w:val="73467A28"/>
    <w:rsid w:val="73DE2356"/>
    <w:rsid w:val="74F7D898"/>
    <w:rsid w:val="75620AC8"/>
    <w:rsid w:val="757F2C5C"/>
    <w:rsid w:val="75BC0475"/>
    <w:rsid w:val="76085468"/>
    <w:rsid w:val="762E4865"/>
    <w:rsid w:val="76403B48"/>
    <w:rsid w:val="76CC3CD2"/>
    <w:rsid w:val="76CE66B2"/>
    <w:rsid w:val="76CF6DB8"/>
    <w:rsid w:val="76F1414E"/>
    <w:rsid w:val="770BFEA1"/>
    <w:rsid w:val="77356731"/>
    <w:rsid w:val="77382042"/>
    <w:rsid w:val="77495D38"/>
    <w:rsid w:val="777F9085"/>
    <w:rsid w:val="777FFC1B"/>
    <w:rsid w:val="77A0348F"/>
    <w:rsid w:val="77AA5F3A"/>
    <w:rsid w:val="77BD0E62"/>
    <w:rsid w:val="77DEF5B9"/>
    <w:rsid w:val="77E704BB"/>
    <w:rsid w:val="77F78DBF"/>
    <w:rsid w:val="79346B00"/>
    <w:rsid w:val="795C01FC"/>
    <w:rsid w:val="79CD4C41"/>
    <w:rsid w:val="7A320D06"/>
    <w:rsid w:val="7AA62E2A"/>
    <w:rsid w:val="7B52AEE0"/>
    <w:rsid w:val="7BBD7324"/>
    <w:rsid w:val="7BC0475E"/>
    <w:rsid w:val="7BF1074D"/>
    <w:rsid w:val="7BF7FF5A"/>
    <w:rsid w:val="7BFFA3F1"/>
    <w:rsid w:val="7C953496"/>
    <w:rsid w:val="7CCC7E14"/>
    <w:rsid w:val="7CD2B1EC"/>
    <w:rsid w:val="7CD6006F"/>
    <w:rsid w:val="7D715340"/>
    <w:rsid w:val="7DBD4B0F"/>
    <w:rsid w:val="7DDCB889"/>
    <w:rsid w:val="7DF21D71"/>
    <w:rsid w:val="7DFD394B"/>
    <w:rsid w:val="7E3BB400"/>
    <w:rsid w:val="7E853503"/>
    <w:rsid w:val="7E906943"/>
    <w:rsid w:val="7EE12CFA"/>
    <w:rsid w:val="7EF4947F"/>
    <w:rsid w:val="7EF70ECF"/>
    <w:rsid w:val="7F0B0425"/>
    <w:rsid w:val="7F315A30"/>
    <w:rsid w:val="7F69B0EB"/>
    <w:rsid w:val="7F754A37"/>
    <w:rsid w:val="7F7F7908"/>
    <w:rsid w:val="7FDB9621"/>
    <w:rsid w:val="7FF707E4"/>
    <w:rsid w:val="7FFD1DB6"/>
    <w:rsid w:val="872D95F3"/>
    <w:rsid w:val="899748A2"/>
    <w:rsid w:val="8ADF36EB"/>
    <w:rsid w:val="8E4DFB9B"/>
    <w:rsid w:val="9FF7D00B"/>
    <w:rsid w:val="A5FC1C6A"/>
    <w:rsid w:val="A96B95B9"/>
    <w:rsid w:val="ABD1D6F9"/>
    <w:rsid w:val="ABFB69FA"/>
    <w:rsid w:val="AEFFCAAB"/>
    <w:rsid w:val="AF3E52B4"/>
    <w:rsid w:val="B7664A40"/>
    <w:rsid w:val="B7F70063"/>
    <w:rsid w:val="B9E3A1D1"/>
    <w:rsid w:val="BA4FC804"/>
    <w:rsid w:val="BBBDD229"/>
    <w:rsid w:val="BBFF7B6E"/>
    <w:rsid w:val="BDDB17A2"/>
    <w:rsid w:val="BDFD52CF"/>
    <w:rsid w:val="BEE873D9"/>
    <w:rsid w:val="BFCB843C"/>
    <w:rsid w:val="BFF3BBDD"/>
    <w:rsid w:val="C29DAA0F"/>
    <w:rsid w:val="C3B9C77C"/>
    <w:rsid w:val="CCE9779F"/>
    <w:rsid w:val="D6FFFB0E"/>
    <w:rsid w:val="D7F23706"/>
    <w:rsid w:val="D90DFE69"/>
    <w:rsid w:val="D9CB41D4"/>
    <w:rsid w:val="DAD9F5AB"/>
    <w:rsid w:val="DCFE2AB9"/>
    <w:rsid w:val="DFAE46B7"/>
    <w:rsid w:val="DFC16CEA"/>
    <w:rsid w:val="DFE3E4D6"/>
    <w:rsid w:val="DFE6B13A"/>
    <w:rsid w:val="DFECBDEC"/>
    <w:rsid w:val="DFFFDA19"/>
    <w:rsid w:val="E3D76F82"/>
    <w:rsid w:val="E74264F7"/>
    <w:rsid w:val="E75CFB6C"/>
    <w:rsid w:val="E7DA6701"/>
    <w:rsid w:val="E7ECD0CE"/>
    <w:rsid w:val="EB1FD270"/>
    <w:rsid w:val="EBF3BC5A"/>
    <w:rsid w:val="ED7EF604"/>
    <w:rsid w:val="EDE38116"/>
    <w:rsid w:val="EDEF5F60"/>
    <w:rsid w:val="EFEF7674"/>
    <w:rsid w:val="EFFE40A4"/>
    <w:rsid w:val="EFFE6BC9"/>
    <w:rsid w:val="F332258E"/>
    <w:rsid w:val="F3FFA1CC"/>
    <w:rsid w:val="F49F7544"/>
    <w:rsid w:val="F57F4365"/>
    <w:rsid w:val="F5FDCC74"/>
    <w:rsid w:val="F7F3A03C"/>
    <w:rsid w:val="FB7B1246"/>
    <w:rsid w:val="FBA42BBA"/>
    <w:rsid w:val="FBC76B1E"/>
    <w:rsid w:val="FBDE483D"/>
    <w:rsid w:val="FBDF7E2D"/>
    <w:rsid w:val="FBFCA983"/>
    <w:rsid w:val="FBFE2FF2"/>
    <w:rsid w:val="FCBE9EF0"/>
    <w:rsid w:val="FD79CDDA"/>
    <w:rsid w:val="FDB7CCB8"/>
    <w:rsid w:val="FDDB8808"/>
    <w:rsid w:val="FDDD825A"/>
    <w:rsid w:val="FDEE098C"/>
    <w:rsid w:val="FDFDC3F8"/>
    <w:rsid w:val="FDFFBF36"/>
    <w:rsid w:val="FEEFCE40"/>
    <w:rsid w:val="FEF76AA6"/>
    <w:rsid w:val="FEF9D379"/>
    <w:rsid w:val="FEFB1A19"/>
    <w:rsid w:val="FEFF983F"/>
    <w:rsid w:val="FF5FD9C8"/>
    <w:rsid w:val="FF7F0967"/>
    <w:rsid w:val="FF7F514E"/>
    <w:rsid w:val="FFAD0984"/>
    <w:rsid w:val="FFB75D08"/>
    <w:rsid w:val="FFDC7B93"/>
    <w:rsid w:val="FFED3EFA"/>
    <w:rsid w:val="FFF5993D"/>
    <w:rsid w:val="FFFF537F"/>
    <w:rsid w:val="FFFF6F91"/>
    <w:rsid w:val="FFFF7401"/>
    <w:rsid w:val="FFFF8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00" w:lineRule="auto"/>
      <w:ind w:firstLine="883"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Normal Indent"/>
    <w:basedOn w:val="1"/>
    <w:semiHidden/>
    <w:qFormat/>
    <w:uiPriority w:val="0"/>
    <w:pPr>
      <w:adjustRightInd/>
      <w:ind w:firstLine="420"/>
      <w:textAlignment w:val="auto"/>
    </w:pPr>
    <w:rPr>
      <w:kern w:val="2"/>
    </w:rPr>
  </w:style>
  <w:style w:type="paragraph" w:styleId="8">
    <w:name w:val="caption"/>
    <w:basedOn w:val="1"/>
    <w:next w:val="1"/>
    <w:unhideWhenUsed/>
    <w:qFormat/>
    <w:uiPriority w:val="0"/>
    <w:rPr>
      <w:rFonts w:ascii="Arial" w:hAnsi="Arial" w:eastAsia="黑体"/>
      <w:sz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表头"/>
    <w:basedOn w:val="1"/>
    <w:qFormat/>
    <w:uiPriority w:val="0"/>
    <w:pPr>
      <w:ind w:firstLine="0"/>
      <w:jc w:val="center"/>
    </w:pPr>
    <w:rPr>
      <w:rFonts w:ascii="Arial" w:hAnsi="Arial" w:eastAsia="黑体" w:cs="Arial"/>
      <w:sz w:val="18"/>
    </w:rPr>
  </w:style>
  <w:style w:type="paragraph" w:customStyle="1" w:styleId="21">
    <w:name w:val="表格"/>
    <w:basedOn w:val="1"/>
    <w:qFormat/>
    <w:uiPriority w:val="0"/>
    <w:pPr>
      <w:ind w:left="219" w:leftChars="100" w:firstLine="0"/>
    </w:pPr>
    <w:rPr>
      <w:sz w:val="18"/>
    </w:rPr>
  </w:style>
  <w:style w:type="paragraph" w:customStyle="1" w:styleId="22">
    <w:name w:val="表题"/>
    <w:basedOn w:val="20"/>
    <w:qFormat/>
    <w:uiPriority w:val="0"/>
    <w:pPr>
      <w:spacing w:before="169" w:beforeLines="50"/>
    </w:pPr>
  </w:style>
  <w:style w:type="paragraph" w:customStyle="1" w:styleId="23">
    <w:name w:val="标题1.1.1"/>
    <w:basedOn w:val="4"/>
    <w:qFormat/>
    <w:uiPriority w:val="0"/>
    <w:pPr>
      <w:keepNext/>
      <w:keepLines/>
      <w:adjustRightInd/>
      <w:snapToGrid/>
      <w:spacing w:before="50" w:beforeLines="50" w:beforeAutospacing="0" w:after="50" w:afterLines="50" w:afterAutospacing="0" w:line="240" w:lineRule="auto"/>
      <w:ind w:firstLine="0" w:firstLineChars="0"/>
      <w:outlineLvl w:val="2"/>
    </w:pPr>
    <w:rPr>
      <w:rFonts w:ascii="Arial" w:hAnsi="Arial" w:eastAsia="黑体" w:cs="Arial"/>
      <w:b w:val="0"/>
      <w:sz w:val="28"/>
      <w:lang w:bidi="he-IL"/>
    </w:rPr>
  </w:style>
  <w:style w:type="paragraph" w:customStyle="1" w:styleId="24">
    <w:name w:val="标题1.1"/>
    <w:basedOn w:val="3"/>
    <w:next w:val="1"/>
    <w:qFormat/>
    <w:uiPriority w:val="0"/>
    <w:pPr>
      <w:spacing w:before="100" w:beforeLines="100" w:after="100" w:afterLines="100" w:line="240" w:lineRule="auto"/>
      <w:ind w:firstLine="0" w:firstLineChars="0"/>
      <w:jc w:val="left"/>
      <w:textAlignment w:val="center"/>
    </w:pPr>
    <w:rPr>
      <w:rFonts w:hint="eastAsia" w:ascii="Times New Roman" w:hAnsi="Times New Roman" w:eastAsia="楷体_GB2312" w:cs="Times New Roman"/>
      <w:color w:val="000000"/>
      <w:sz w:val="36"/>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6264</Words>
  <Characters>7085</Characters>
  <Lines>0</Lines>
  <Paragraphs>0</Paragraphs>
  <TotalTime>29</TotalTime>
  <ScaleCrop>false</ScaleCrop>
  <LinksUpToDate>false</LinksUpToDate>
  <CharactersWithSpaces>7282</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2025-07-02T01:18:00Z</dcterms:created>
  <dc:creator>尹老师</dc:creator>
  <cp:lastModifiedBy>Ty</cp:lastModifiedBy>
  <dcterms:modified xsi:type="dcterms:W3CDTF">2025-07-31T03:30:47Z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A5A005B8B4BE45CE98921887B7749728</vt:lpwstr>
  </property>
  <property fmtid="{D5CDD505-2E9C-101B-9397-08002B2CF9AE}" pid="4" name="KSOTemplateDocerSaveRecord">
    <vt:lpwstr>eyJoZGlkIjoiOTk0ZTVkZGQ2YjQ3YmVmOTlkNzM0OGRhOWY0NmM0ODMiLCJ1c2VySWQiOiI3MzU5MDY5MzYifQ==</vt:lpwstr>
  </property>
</Properties>
</file>