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 The Rationale for Adaptive Ambiguity Models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Traditional financial and econometric models often rely on a critical, yet often flawed, assumption: that market parameters are fixed and known with certainty.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static models, which assume a single, known probability distribution of outcomes, are fundamentally ill-equipped to handle the non-linear, non-stationary nature of modern financial markets. Their inability to capture significant structural breaks or regime shifts—abrupt changes in market dynamics that occur during crises or major policy changes—results in strong in-sample fit but poor out-of-sample forecast performance. A new paradigm is required, one that moves beyond static assumptions to a fluid, responsive, and continuously learning framework that reflects the true complexity of the financial landscape.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limitations of these traditional models stem from their inability to differentiate between risk and a deeper form of uncertainty known as ambiguity. Risk is a situation where the probabilities of various outcomes are known, even if the outcomes themselves are not. Ambiguity, in contrast, is uncertainty when the odds are not known.</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distinction is crucial and is a leading explanation for long-standing puzzles in finance, such as the market non-participation puzzle, where investors avoid certain markets despite attractive returns.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behavioral preference for known probabilities, a phenomenon first demonstrated by the Ellsberg Paradox, is termed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ambiguity aversion</w:t>
      </w:r>
      <w:r w:rsidDel="00000000" w:rsidR="00000000" w:rsidRPr="00000000">
        <w:rPr>
          <w:rFonts w:ascii="Google Sans Text" w:cs="Google Sans Text" w:eastAsia="Google Sans Text" w:hAnsi="Google Sans Text"/>
          <w:color w:val="1b1c1d"/>
          <w:rtl w:val="0"/>
        </w:rPr>
        <w:t xml:space="preserve">. It is a pervasive human trait rooted in psychological biases like the familiarity effect and status quo bias, causing investors to gravitate toward safe and familiar choices even if it means foregoing higher returns. This aversion is not just a theoretical concept; it has been shown to be a significant factor in the decisions of both private and institutional investors.</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model that can successfully incorporate these psychological and market realities must itself be dynamic. An </w:t>
      </w:r>
      <w:r w:rsidDel="00000000" w:rsidR="00000000" w:rsidRPr="00000000">
        <w:rPr>
          <w:rFonts w:ascii="Google Sans Text" w:cs="Google Sans Text" w:eastAsia="Google Sans Text" w:hAnsi="Google Sans Text"/>
          <w:b w:val="1"/>
          <w:color w:val="1b1c1d"/>
          <w:rtl w:val="0"/>
        </w:rPr>
        <w:t xml:space="preserve">adaptive model</w:t>
      </w:r>
      <w:r w:rsidDel="00000000" w:rsidR="00000000" w:rsidRPr="00000000">
        <w:rPr>
          <w:rFonts w:ascii="Google Sans Text" w:cs="Google Sans Text" w:eastAsia="Google Sans Text" w:hAnsi="Google Sans Text"/>
          <w:color w:val="1b1c1d"/>
          <w:rtl w:val="0"/>
        </w:rPr>
        <w:t xml:space="preserve"> is defined as a system that can continuously adjust its parameters and behavior in response to new data without manual intervention.</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continuous learning and updating process is essential because investor preferences and beliefs are not static; they evolve in real-time as market conditions change.</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By continuously refining its internal parameters, an adaptive model can enhance its predictive accuracy over time and provide a financial roadmap that is responsive to reality, not a relic of the past. The central motivation of this research is to propose and formalize a unified framework for a financial model in which the parameter for ambiguity aversion is not a static constant but an adaptive variable, formally linked to and driven by observable quantitative market indicators.</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research contributes to the literature in several key areas. First, it explicitly models ambiguity aversion as a time-varying parameter, making it more responsive to evolving market conditions. This approach allows for a deeper quantification of uncertainty than traditional risk measures like variance.</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Our framework allows for the establishment of a clear causal relationship between changes in ambiguity and asset prices, where ambiguity has a negative relationship with short-term portfolio performance, particularly during periods of market turbulence.</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However, in the long term, ambiguity aversion helps to explain the high equity premium puzzle, with studies showing that an ambiguity premium is required for holding assets perceived as ambiguous, which contributes to higher long-run returns.</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This causal influence can be analyzed using traditional econometric methods that leverage mediating or moderating variables to understand how the dynamic ambiguity parameter affects stock returns. For example, studies have shown that portfolio strategies that integrate a dynamic ambiguity index outperform traditional risk-based approaches in backtesting, demonstrating the practical value of this approach in investment decision-making.</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major contribution of this research is to define and operationalize a dynamic, or time-varying, parameter for ambiguity aversion. This adaptive framework moves beyond the static parameters and fixed assumptions of previous models, providing a more effective and empirically grounded measurement of ambiguity that can be directly applied to a wide range of financial and macroeconomic phenomena. This new approach aims to provide a robust and dynamic tool for navigating the complexities of modern financial markets, offering a significant advancement over outdated, static methodologies.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The Theoretical Foundations of Ambiguity Aversion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Ambiguity vs. Risk: A Deeper Behavioral Perspective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foundational distinction between risk and ambiguity lies in the Ellsberg Paradox. This thought experiment demonstrates that individuals, when faced with a choice between a gamble with known probabilities and a gamble with unknown probabilities, will often strictly prefer the former, even if the expected payoffs are identical.</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This irrational behavior from a purely rational choice perspective underscores a fundamental human tendency: a dislike for uncertainty that cannot be quantified or assigned a clear probability.</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This psychological aversion is influenced by a suite of cognitive heuristics and biases, including: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Familiarity Effect:</w:t>
      </w:r>
      <w:r w:rsidDel="00000000" w:rsidR="00000000" w:rsidRPr="00000000">
        <w:rPr>
          <w:rFonts w:ascii="Google Sans Text" w:cs="Google Sans Text" w:eastAsia="Google Sans Text" w:hAnsi="Google Sans Text"/>
          <w:color w:val="1b1c1d"/>
          <w:rtl w:val="0"/>
        </w:rPr>
        <w:t xml:space="preserve"> People favor what they know. In finance, this translates to a preference for investing in familiar companies or assets where the outcomes feel less uncertain.</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Status Quo Bias:</w:t>
      </w:r>
      <w:r w:rsidDel="00000000" w:rsidR="00000000" w:rsidRPr="00000000">
        <w:rPr>
          <w:rFonts w:ascii="Google Sans Text" w:cs="Google Sans Text" w:eastAsia="Google Sans Text" w:hAnsi="Google Sans Text"/>
          <w:color w:val="1b1c1d"/>
          <w:rtl w:val="0"/>
        </w:rPr>
        <w:t xml:space="preserve"> The tendency to prefer things to remain the same, viewing change as a potential loss that outweighs potential gains.</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Information Bias:</w:t>
      </w:r>
      <w:r w:rsidDel="00000000" w:rsidR="00000000" w:rsidRPr="00000000">
        <w:rPr>
          <w:rFonts w:ascii="Google Sans Text" w:cs="Google Sans Text" w:eastAsia="Google Sans Text" w:hAnsi="Google Sans Text"/>
          <w:color w:val="1b1c1d"/>
          <w:rtl w:val="0"/>
        </w:rPr>
        <w:t xml:space="preserve"> A tendency to seek more information, even when it is not relevant or cannot affect a decision.</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This behavior is driven by a desire to reduce ambiguity, even if the information obtained is useless.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Ambiguity aversion, therefore, is not merely a technical concept; it is a description of how investors behave when they lack confidence in their probabilistic assessments of future events.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Seminal Models of Ambiguity Aversion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formalize this behavioral phenomenon, two dominant theoretical frameworks have emerged in decision theory and finance: the Multiple Priors (Maxmin) model and the Smooth Ambiguity model. The Multiple Priors framework assumes an agent operates with a set of beliefs rather than a single, fixed prior, behaving pessimistically and taking the minimum expected utility over this entire belief set.</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In contrast, the Smooth Ambiguity model uses a differentiable utility function to capture ambiguity aversion as an aversion to utility dispersion or mean-preserving spreads in the distribution of expected utilities.</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model allows for a formal separation between the beliefs about future outcomes and the agent's attitude toward ambiguity, which is crucial for econometric modeling.</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A more detailed explanation, including the specific mathematical formulations of these models, is provided in Appendix 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The Integrated Model: Combining Theory and Practice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model that incorporates time-varying ambiguity aversion requires an econometric framework capable of handling dynamic parameters. As discussed in Appendix B, the most common approaches fall into two categories: Time-Varying Parameter (TVP) models, which allow for gradual changes in a model's coefficients over time, and Regime-Switching Models (RSM), which are designed to accommodate abrupt shifts or structural breaks that characterize financial crises or sudden policy changes.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proposed framework is a hybrid of these methodologies, drawing on the strengths of both. The behavior of the model is driven by observable macroeconomic and market variables, whose role as determinators of the dynamic parameters is described in detail in Appendix C.</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Adaptive Ambiguity Aversion Model Framework</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central proposal is a unified model framework that synthesizes the theoretical foundations of ambiguity aversion with the practical application of dynamic econometric methods. This framework is built upon a state-space model where the adaptive ambiguity aversion index, θi,t​, is a firm-specific, time-varying coefficient that reflects the total contribution of ambiguity to asset prices for company i. This coefficient is a function of both the investor's inherent ambiguity aversion and the measured level of market-wide ambiguity. This distinction is crucial, as it separates the investor's attitude (tastes) from their subjective beliefs about the market environment.</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 model can be represented by two key equations: a measurement equation and a state transition equation.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color w:val="1b1c1d"/>
          <w:rtl w:val="0"/>
        </w:rPr>
        <w:t xml:space="preserve">measurement equation</w:t>
      </w:r>
      <w:r w:rsidDel="00000000" w:rsidR="00000000" w:rsidRPr="00000000">
        <w:rPr>
          <w:rFonts w:ascii="Google Sans Text" w:cs="Google Sans Text" w:eastAsia="Google Sans Text" w:hAnsi="Google Sans Text"/>
          <w:color w:val="1b1c1d"/>
          <w:rtl w:val="0"/>
        </w:rPr>
        <w:t xml:space="preserve"> formally links the total ambiguity effect to observable, firm-specific market variables. It is called a measurement equation, rather than a regression equation, because it describes how the observed return, yi,t​, measures the latent and unobservable state of the system, represented by the ambiguity aversion index, θi,t​. This is a standard term in state-space models, which are designed to estimate unobserved parameters from a series of noisy measurements. Assuming a neutral risk attitude for the investor, the equation is: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yi,t​=β0,t​+β1​zi,t​+θi,t​⋅xi,t​+ϵi,t​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 yi,t​ is the dependent variable for firm i at time t, such as asset returns, and zi,t​ represents other firm-specific control variables like risk or other factors that influence the dependent variable.</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The term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θi,t​ is the firm-specific time-varying ambiguity aversion index and xi,t​ is the firm-specific quantitative measure of ambiguity for firm i at time t (e.g., firm-level volatility). The product θi,t​⋅xi,t​ captures the full effect of ambiguity on returns for firm i. This setup explicitly models the causal relationship, where the degree of ambiguity (xi,t​) directly influences asset returns, with the strength of this influence modulated by the time-varying index θi,t​. A key insight of this framework is to avoid including market-wide ambiguity measures directly in this equation. This is because the influence of broader market conditions is already implicitly captured by the time-varying parameter θi,t​ itself, which is explicitly defined as a function of these macro-level proxies. Including them in both places would introduce redundant information, making the model over-specified and computationally complex.</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color w:val="1b1c1d"/>
          <w:rtl w:val="0"/>
        </w:rPr>
        <w:t xml:space="preserve">state transition equation</w:t>
      </w:r>
      <w:r w:rsidDel="00000000" w:rsidR="00000000" w:rsidRPr="00000000">
        <w:rPr>
          <w:rFonts w:ascii="Google Sans Text" w:cs="Google Sans Text" w:eastAsia="Google Sans Text" w:hAnsi="Google Sans Text"/>
          <w:color w:val="1b1c1d"/>
          <w:rtl w:val="0"/>
        </w:rPr>
        <w:t xml:space="preserve"> captures the adaptive nature of the model, allowing the firm-specific ambiguity aversion index to evolve over time in response to market-wide conditions: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θi,t​=Cθi,t−1​+DProxiest​+vi,t​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In this equation, θi,t​ is the unobservable, firm-specific time-varying ambiguity aversion index, and Proxiest​ is a vector of observable market-wide proxies for ambiguity (e.g., VIX, EPU) that act as coefficient drivers. This inclusion allows the model's core preference parameter to respond endogenously and continuously to real-time market shifts.</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framework formalizes a </w:t>
      </w:r>
      <w:r w:rsidDel="00000000" w:rsidR="00000000" w:rsidRPr="00000000">
        <w:rPr>
          <w:rFonts w:ascii="Google Sans Text" w:cs="Google Sans Text" w:eastAsia="Google Sans Text" w:hAnsi="Google Sans Text"/>
          <w:b w:val="1"/>
          <w:color w:val="1b1c1d"/>
          <w:rtl w:val="0"/>
        </w:rPr>
        <w:t xml:space="preserve">dual-loop adaptation</w:t>
      </w:r>
      <w:r w:rsidDel="00000000" w:rsidR="00000000" w:rsidRPr="00000000">
        <w:rPr>
          <w:rFonts w:ascii="Google Sans Text" w:cs="Google Sans Text" w:eastAsia="Google Sans Text" w:hAnsi="Google Sans Text"/>
          <w:color w:val="1b1c1d"/>
          <w:rtl w:val="0"/>
        </w:rPr>
        <w:t xml:space="preserve"> principle.</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The external loop is the continuous feed of new data from the quantitative market indicators, reflecting changes in the external environment. The internal loop is the resulting endogenous change to the model's core preference parameter. This self-adjusting mechanism is a significant advancement over rolling window estimations, which are often based on subjective window sizes and can suffer from bias.</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By embedding the adaptive mechanism within the model's internal logic, this framework avoids arbitrary parameters and is driven entirely by data and established theory.</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account for both the gradual and abrupt nature of market shifts, the proposed framework is a hybrid of TVP and RSM methodologies. The ambiguity aversion index θi,t​ can evolve gradually via a random walk, as in a standard TVP model, but the parameters governing its evolution could be subject to a hidden Markov chain that switches between different regimes, such as a low ambiguity and high ambiguity regime.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For example, the state transition equation's parameters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 and D could be state-dependent, denoted as Cst​​ and Dst​​, where st​ is a latent state variable governed by a Markov process.</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This allows the model's fundamental dynamics to change when a structural break occurs, capturing the rapid shifts that characterize financial crises.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full model would then be specified by a set of regime-specific parameters, where the transition between regimes is defined by a probability matrix P, and a vector of state-dependent coefficients, such as μi,st​​ and ϕi,st​​: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yi,t​=μi,st​​+ϕi,st​​yi,t−1​+ϵi,st​​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approach creates a model that is both responsive to daily, gradual changes and robust to systemic shocks by allowing the model's structure itself to change with the market's state, overcoming the limitations of each approach when used in isolation.</w:t>
      </w:r>
      <w:r w:rsidDel="00000000" w:rsidR="00000000" w:rsidRPr="00000000">
        <w:rPr>
          <w:rFonts w:ascii="Google Sans Text" w:cs="Google Sans Text" w:eastAsia="Google Sans Text" w:hAnsi="Google Sans Text"/>
          <w:color w:val="575b5f"/>
          <w:sz w:val="24"/>
          <w:szCs w:val="24"/>
          <w:vertAlign w:val="superscript"/>
          <w:rtl w:val="0"/>
        </w:rPr>
        <w:t xml:space="preserve">36</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Practical Challenges, Estimation, and Validation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Estimation and Computation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Implementing such a model presents significant practical challenges. TVP models, due to their flexibility, can be over-parameterized and suffer from the curse of dimensionality, particularly when a large number of variables are included.</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The number of parameters in a TVP model increases with the sample size, which can be computationally intensive and lead to the pile-up problem, where the estimates of the parameters cluster at zero.</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estimation of these models often requires advanced techniques. The nonlinear state equations and intractable likelihood functions that arise when stochastic volatility is included necessitate the use of Bayesian Markov Chain Monte Carlo (MCMC) methods.</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MCMC provides a flexible and robust framework for inference but is more computationally demanding than Maximum Likelihood Estimation via the Kalman filter.</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A key advantage of this Bayesian approach is that it does not require a pre-defined initial value for a parameter like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θi,t​ in order to estimate its future path.</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Instead, the entire sequence of the latent, unobservable state variable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θi,t​ is estimated from the data itself. The estimation procedure treats the initial value of the parameter as a part of the overall parameter set to be inferred, with a prior distribution placed upon it. The MCMC algorithm then samples from the joint posterior distribution of all model parameters, including the full-time series path of the time-varying coefficient, providing a rich and complete estimate of the parameter's evolution over the entire sample period.</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This makes it ideal for modeling phenomena like ambiguity aversion, where the true value of the parameter is unknown and must be inferred from observed market behavior.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Model Validation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primary risk with any flexible, adaptive model is overfitting. A model that perfectly fits historical data may be simply capturing noise and historical patterns that are unlikely to repeat.</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This makes traditional static backtesting, where fixed parameters are validated on a static out-of-sample period, an inadequate validation method for adaptive models.</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To properly validate an adaptive model, a dynamic approach is required. </w:t>
      </w:r>
      <w:r w:rsidDel="00000000" w:rsidR="00000000" w:rsidRPr="00000000">
        <w:rPr>
          <w:rFonts w:ascii="Google Sans Text" w:cs="Google Sans Text" w:eastAsia="Google Sans Text" w:hAnsi="Google Sans Text"/>
          <w:b w:val="1"/>
          <w:color w:val="1b1c1d"/>
          <w:rtl w:val="0"/>
        </w:rPr>
        <w:t xml:space="preserve">Walk Forward Optimization (WFO)</w:t>
      </w:r>
      <w:r w:rsidDel="00000000" w:rsidR="00000000" w:rsidRPr="00000000">
        <w:rPr>
          <w:rFonts w:ascii="Google Sans Text" w:cs="Google Sans Text" w:eastAsia="Google Sans Text" w:hAnsi="Google Sans Text"/>
          <w:color w:val="1b1c1d"/>
          <w:rtl w:val="0"/>
        </w:rPr>
        <w:t xml:space="preserve"> is the superior alternative.</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WFO continuously re-optimizes the model's parameters on a rolling window of recent data and then tests the optimized parameters on a subsequent out-of-sample period.</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This process, which better mimics how traders and analysts actually operate in a fluid environment, provides a more reliable assessment of the model's real-world performance.</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comparison of the two main econometric frameworks is provided below:</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1: Comparison of Econometric Frameworks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Core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Best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Computational Intensity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TVP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Gradual parameter change (e.g., Random Walk)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Capturing continuous evolution of a system (e.g., changing policy 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 often requires MCMC or Kalman Filter </w:t>
            </w:r>
            <w:r w:rsidDel="00000000" w:rsidR="00000000" w:rsidRPr="00000000">
              <w:rPr>
                <w:rFonts w:ascii="Google Sans Text" w:cs="Google Sans Text" w:eastAsia="Google Sans Text" w:hAnsi="Google Sans Text"/>
                <w:color w:val="575b5f"/>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Over-parameterization, curse of dimensionality </w:t>
            </w:r>
            <w:r w:rsidDel="00000000" w:rsidR="00000000" w:rsidRPr="00000000">
              <w:rPr>
                <w:rFonts w:ascii="Google Sans Text" w:cs="Google Sans Text" w:eastAsia="Google Sans Text" w:hAnsi="Google Sans Text"/>
                <w:color w:val="575b5f"/>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Regime-Switching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Abrupt regime shifts (e.g., Markov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Modeling structural breaks (e.g., financial crises)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 often requires complex filtering algorithms </w:t>
            </w:r>
            <w:r w:rsidDel="00000000" w:rsidR="00000000" w:rsidRPr="00000000">
              <w:rPr>
                <w:rFonts w:ascii="Google Sans Text" w:cs="Google Sans Text" w:eastAsia="Google Sans Text" w:hAnsi="Google Sans Text"/>
                <w:color w:val="575b5f"/>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Difficulty in clearly separating states </w:t>
            </w:r>
            <w:r w:rsidDel="00000000" w:rsidR="00000000" w:rsidRPr="00000000">
              <w:rPr>
                <w:rFonts w:ascii="Google Sans Text" w:cs="Google Sans Text" w:eastAsia="Google Sans Text" w:hAnsi="Google Sans Text"/>
                <w:color w:val="575b5f"/>
                <w:sz w:val="24"/>
                <w:szCs w:val="24"/>
                <w:vertAlign w:val="superscript"/>
                <w:rtl w:val="0"/>
              </w:rPr>
              <w:t xml:space="preserve">25</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Case Study &amp; Applications in Financial Markets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proposed model framework is not merely a theoretical exercise; it has profound implications for understanding and predicting investor behavior and market dynamics.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Application to Asset Pricing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Ambiguity, unlike risk, has been shown to generate first-order welfare effects.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means an increase in ambiguity can directly reduce the perceived mean of future outcomes, acting as a fundamental economic shock similar to bad news.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As a result, agents reduce consumption and investment, and a compensation premium is required for holding assets that are perceived as ambiguous.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proposed model can generate a time-varying ambiguity premium on asset returns, as the parameter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θi,t​ adjusts to reflect changes in market-wide ambiguity. This helps explain the high market price of risk and the equity premium puzzle, where returns on stocks are higher than what can be explained by risk alone.</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Application to Portfolio Management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model also provides a robust explanation for observed investor behaviors that are inconsistent with traditional portfolio theory. A time-varying ambiguity parameter can influence optimal portfolio choice, demonstrating why investors may fail to rebalance their portfolios or adequately diversify. Research shows that ambiguity aversion, particularly concerning asset return correlations, can lead to portfolio inertia, where investors are reluctant to rebalance their holdings even when market conditions change.</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It can also explain anti-diversification or home bias, where ambiguity-averse investors bear more risk by holding a less diversified portfolio, a phenomenon observed in empirical studies of household portfolios.</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2: Model-Driven Portfolio Rebalancing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Market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Ambiguity Parameter (θi,t​)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Model-Driven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Normal (VIX below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Baseline (e.g.,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Hold a diversified, risk-adjusted optimal portfolio.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model operates in a risk-aversion-dominant regime.</w:t>
            </w:r>
            <w:r w:rsidDel="00000000" w:rsidR="00000000" w:rsidRPr="00000000">
              <w:rPr>
                <w:rFonts w:ascii="Google Sans Text" w:cs="Google Sans Text" w:eastAsia="Google Sans Text" w:hAnsi="Google Sans Text"/>
                <w:color w:val="575b5f"/>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Uncertainty (VIX &gt;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Elevated (e.g.,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Shift allocation towards low-ambiguity assets (e.g., cash, bonds).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model shifts to an ambiguity-aversion-dominant regime, justifying a reduction in risk-taking.</w:t>
            </w:r>
            <w:r w:rsidDel="00000000" w:rsidR="00000000" w:rsidRPr="00000000">
              <w:rPr>
                <w:rFonts w:ascii="Google Sans Text" w:cs="Google Sans Text" w:eastAsia="Google Sans Text" w:hAnsi="Google Sans Text"/>
                <w:color w:val="575b5f"/>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EPU/Systemic Shock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Highly Elevated (e.g., 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Further reduce risk exposure, potentially leading to market non-participation.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model reflects a strong aversion to macro-level ambiguity, explaining portfolio concentration and withdrawal from the market.</w:t>
            </w:r>
            <w:r w:rsidDel="00000000" w:rsidR="00000000" w:rsidRPr="00000000">
              <w:rPr>
                <w:rFonts w:ascii="Google Sans Text" w:cs="Google Sans Text" w:eastAsia="Google Sans Text" w:hAnsi="Google Sans Text"/>
                <w:color w:val="575b5f"/>
                <w:sz w:val="24"/>
                <w:szCs w:val="24"/>
                <w:vertAlign w:val="superscript"/>
                <w:rtl w:val="0"/>
              </w:rPr>
              <w:t xml:space="preserve">7</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 Conclusion and Future Research</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financial models of the future must be capable of adapting to a complex and ever-changing environment. This report has demonstrated that by integrating the behavioral theory of ambiguity aversion with modern econometric methods, it is possible to construct a model with adaptive parameters that formally links investor sentiment to market behavior. The proposed framework, utilizing a state-space model driven by quantitative proxies like the VIX and EPU, provides a robust and dynamic alternative to static, outdated models. It offers a powerful tool for explaining phenomena such as the equity premium puzzle, portfolio inertia, and market non-participation.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this framework represents a significant step forward, several areas for further research remain. The development of hybrid models that combine the strengths of both TVP and RSM methodologies is a promising direction for capturing both gradual and abrupt changes in market regimes.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exploration of non-linear estimation techniques beyond standard Gaussian models and the potential use of machine learning methods, such as neural networks, for parameter estimation could further enhance the model's predictive power.</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As financial markets grow more complex, models that can continuously learn and adapt to the shifting sands of uncertainty will be essential for navigating the future.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Appendix A: Mathematical Foundations of Ambiguity Aversion Models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formalize the behavioral phenomenon of ambiguity aversion, two dominant theoretical frameworks have emerged.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Multiple Priors (Maxmin) Models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framework, pioneered by Gilboa and Schmeidler </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and later applied to finance by Dow and Werlang (1992) and Epstein and Wang (1994) </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models ambiguity aversion by assuming an agent operates with a set of beliefs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 rather than a single, fixed prior.</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When evaluating a plan or an investment, the agent behaves as if they are pessimistic, taking the minimum expected utility over their entire belief set.</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pessimistic or worst-case mean approach is formalized by the utility function: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U=c+βminP∈P​EP​[c~]</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where c is current consumption, β is the subjective discount factor, c~ is future consumption, P is the agent's set of beliefs, and EP​[⋅] denotes the expectation under belief P.</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A larger set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 implies more ambiguity, which can lower utility if it leads to a lower worst-case mean for the plan c~.</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A key implication of this framework is that when faced with ambiguity about asset return correlations, the optimal portfolio may be concentrated in just a few assets or even a single one, a phenomenon known as anti-diversification.</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This is because the agent seeks a portfolio that is robust and correlation-invariant, reducing the negative effects of the ambiguity on their utility.</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Smooth Ambiguity Models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contrast, the smooth ambiguity model, exemplified by the work of Klibanoff, Marinacci, and Mukerji, provides a more tractable alternative.</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approach uses a differentiable utility function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ϕ) to capture ambiguity aversion as an aversion to utility dispersion or mean-preserving spreads in the distribution of expected utilities.</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The utility is represented as: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VS​(f)=Eπ[ϕ(Ep∈P​(u(f)))]</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where Eπ[⋅] denotes the expectation under a subjective probability π over the set of priors P.</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The function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ϕ is concave, and its curvature determines the degree of ambiguity aversion.</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This framework is notable because it allows for a formal separation between the beliefs about future outcomes (the set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 and the agent's attitude toward ambiguity (the function ϕ).</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separation is crucial for econometric modeling and enables a hedging motive across different ambiguities, a behavior that the multiple-priors model, with its focus on the worst case, does not fully capture.</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theoretical models of ambiguity aversion can be embedded within recursive utility frameworks for dynamic settings.</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In such a framework, the agent's continuation value process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Vt​ can be represented by a backward stochastic differential equation, with the ambiguity captured in the continuation value operator.</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This allows for the construction of dynamic models where the aversions to risk, ambiguity, and model misspecification can be analyzed jointly.</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Appendix B: Econometric Methodologies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model that incorporates time-varying ambiguity aversion requires an econometric framework capable of handling dynamic parameters. The most common approaches fall into two categories: Time-Varying Parameter (TVP) models and Regime-Switching Models (RSM).</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Time-Varying Parameter (TVP) Models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TVP models are a class of statistical models that allow for a gradual change in a model's coefficients over time.</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Their flexibility makes them capable of modeling almost any nonlinear relationship between variables.</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A typical TVP regression takes the form:</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yt​=βt′​Xt​+ϵt​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where yt​ is the dependent variable, Xt​ is the vector of explanatory variables, βt​ is the dynamic vector of time-varying coefficients, and ϵt​ is the error term.</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The coefficients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βt​ are often assumed to follow a random walk, allowing them to drift over time.</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more sophisticated approach involves linking the evolution of the coefficients to observable coefficient drivers.</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This procedure formally connects the model's internal parameters to the external environment, providing a transparent mechanism for adaptation. In an integrated model, these drivers would be the quantitative proxies for market conditions. A common variant, the TVP-Vector Autoregression (TVP-VAR), is used extensively in macroeconomics and finance to capture the shifting relationships between multiple time series variables.</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The inclusion of stochastic volatility is also critical in these models, as ignoring it can bias the time-varying coefficients.</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Because the likelihood function of TVP models with stochastic volatility is often intractable, they are typically estimated using Bayesian Markov Chain Monte Carlo (MCMC) methods.</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Regime-Switching Models (RSM)</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In contrast to TVP models, which capture gradual change, Regime-Switching Models are designed to accommodate abrupt shifts or structural breaks that characterize financial crises or sudden policy changes.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These models assume that the observed time series is generated by a mixture of different regimes or states, each with its own distinct parameters and statistical properties, such as varying mean returns or volatility.</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 are two primary types of RSMs:</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Threshold Autoregressive (TAR) Models:</w:t>
      </w:r>
      <w:r w:rsidDel="00000000" w:rsidR="00000000" w:rsidRPr="00000000">
        <w:rPr>
          <w:rFonts w:ascii="Google Sans Text" w:cs="Google Sans Text" w:eastAsia="Google Sans Text" w:hAnsi="Google Sans Text"/>
          <w:color w:val="1b1c1d"/>
          <w:rtl w:val="0"/>
        </w:rPr>
        <w:t xml:space="preserve"> In a TAR model, the regime change is deterministic and is triggered when an observable variable crosses a predetermined threshold.</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For example, a model might switch to a high volatility regime if the VIX index surpasses a certain level.</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Hidden Markov Switching (HMS) Models:</w:t>
      </w:r>
      <w:r w:rsidDel="00000000" w:rsidR="00000000" w:rsidRPr="00000000">
        <w:rPr>
          <w:rFonts w:ascii="Google Sans Text" w:cs="Google Sans Text" w:eastAsia="Google Sans Text" w:hAnsi="Google Sans Text"/>
          <w:color w:val="1b1c1d"/>
          <w:rtl w:val="0"/>
        </w:rPr>
        <w:t xml:space="preserve"> Hamilton's seminal work introduced the HMS model, where the transition between regimes is governed by a hidden, unobservable Markov chain.</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approach uses probabilistic inference to determine the likelihood of a regime change based on the data, rather than a fixed threshold.</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selection between a TVP and an RSM approach depends on the nature of the change being modeled. A complete framework for ambiguity aversion should ideally incorporate elements of both to capture a continuum of possibilities, from the gradual evolution of market dynamics to the sudden, jarring impact of a systemic shock.</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Appendix C: Detailed Proxies for Market Conditions and Ambiguity Shocks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Ambiguity aversion is a latent psychological preference, but its manifestation at a market-wide level is observable through quantitative indicators. These indicators serve as the proxies for the varying market conditions that drive the model's adaptive parameters.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Volatility-Based Proxies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color w:val="1b1c1d"/>
          <w:rtl w:val="0"/>
        </w:rPr>
        <w:t xml:space="preserve">VIX Index</w:t>
      </w:r>
      <w:r w:rsidDel="00000000" w:rsidR="00000000" w:rsidRPr="00000000">
        <w:rPr>
          <w:rFonts w:ascii="Google Sans Text" w:cs="Google Sans Text" w:eastAsia="Google Sans Text" w:hAnsi="Google Sans Text"/>
          <w:color w:val="1b1c1d"/>
          <w:rtl w:val="0"/>
        </w:rPr>
        <w:t xml:space="preserve">, also known as the CBOE Volatility Index, is a prominent example.</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It is a real-time market index that measures the market's expectation of the S&amp;P 500's volatility over the next 30 days, using the prices of S&amp;P 500 options.</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While it measures expected volatility, its common moniker as the Fear Gauge suggests a deeper link to investor psychology.</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A high VIX value, generally above 30, signals a period of heightened market fear and uncertainty.</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is a quantitative expression of collective ambiguity and aversions to it, making the VIX an ideal coefficient driver for our adaptive model. The VIX is a forward-looking indicator, but it reflects expectations of future volatility, not a guarantee of what will happen.</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Its tendency to rise when markets decline and fall when they advance makes it a powerful inverse indicator of market sentiment and an excellent proxy for real-time changes in aversions to ambiguity.</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Sentiment and Macroeconomic Proxies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Other quantitative indices provide additional dimensions of uncertainty:</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Economic Policy Uncertainty (EPU) Index:</w:t>
      </w:r>
      <w:r w:rsidDel="00000000" w:rsidR="00000000" w:rsidRPr="00000000">
        <w:rPr>
          <w:rFonts w:ascii="Google Sans Text" w:cs="Google Sans Text" w:eastAsia="Google Sans Text" w:hAnsi="Google Sans Text"/>
          <w:color w:val="1b1c1d"/>
          <w:rtl w:val="0"/>
        </w:rPr>
        <w:t xml:space="preserve"> This index, constructed from newspaper coverage, tax laws, and disagreement among economic forecasters, provides a measure of uncertainty at a macro level.</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It has been shown to have a significant impact on macroeconomic variables such as GDP, investment, and employment </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offering a different lens through which to measure ambiguity than market-based volatility.</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Investors Intelligence Sentiment Index:</w:t>
      </w:r>
      <w:r w:rsidDel="00000000" w:rsidR="00000000" w:rsidRPr="00000000">
        <w:rPr>
          <w:rFonts w:ascii="Google Sans Text" w:cs="Google Sans Text" w:eastAsia="Google Sans Text" w:hAnsi="Google Sans Text"/>
          <w:color w:val="1b1c1d"/>
          <w:rtl w:val="0"/>
        </w:rPr>
        <w:t xml:space="preserve"> This index, based on a survey of newsletter writers, operates on a contrarian principle.</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It quantifies the balance of power between bulls and bears, with extreme readings (e.g., a high percentage of bullish sentiment) signaling an imminent market reversal.</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While often in a neutral range, its strong signals serve as a proxy for herd-like behavior and market psychology, which can be a source of ambiguity for individual investors.</w:t>
      </w:r>
      <w:r w:rsidDel="00000000" w:rsidR="00000000" w:rsidRPr="00000000">
        <w:rPr>
          <w:rFonts w:ascii="Google Sans Text" w:cs="Google Sans Text" w:eastAsia="Google Sans Text" w:hAnsi="Google Sans Text"/>
          <w:color w:val="575b5f"/>
          <w:sz w:val="24"/>
          <w:szCs w:val="24"/>
          <w:vertAlign w:val="superscript"/>
          <w:rtl w:val="0"/>
        </w:rPr>
        <w:t xml:space="preserve">47</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systematic comparison of these proxies is provided below:</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3: Quantitative Proxies for Ambiguity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Proxy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What it Measures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Link to Ambiguity Aversion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VIX Index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Expected market volatility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Implied volatility from S&amp;P 500 options prices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Directly correlated with investor fear and uncertainty.</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shd w:fill="auto" w:val="clear"/>
                <w:rtl w:val="0"/>
              </w:rPr>
              <w:t xml:space="preserve"> A high reading signals elevated collective ambiguity.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Economic Policy Uncertainty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Macroeconomic policy uncertainty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Newspaper articles, tax code, forecaster disagreement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Captures ambiguity stemming from an unpredictable governmental environment and its impact on economic decisions.</w:t>
            </w:r>
            <w:r w:rsidDel="00000000" w:rsidR="00000000" w:rsidRPr="00000000">
              <w:rPr>
                <w:rFonts w:ascii="Google Sans Text" w:cs="Google Sans Text" w:eastAsia="Google Sans Text" w:hAnsi="Google Sans Text"/>
                <w:color w:val="575b5f"/>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Investors 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Investor sentiment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Survey of newsletter writers' forecasts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 contrarian indicator that proxies for herd behavior and market psychology, a source of collective ambiguity.</w:t>
            </w:r>
            <w:r w:rsidDel="00000000" w:rsidR="00000000" w:rsidRPr="00000000">
              <w:rPr>
                <w:rFonts w:ascii="Google Sans Text" w:cs="Google Sans Text" w:eastAsia="Google Sans Text" w:hAnsi="Google Sans Text"/>
                <w:color w:val="575b5f"/>
                <w:sz w:val="24"/>
                <w:szCs w:val="24"/>
                <w:vertAlign w:val="superscript"/>
                <w:rtl w:val="0"/>
              </w:rPr>
              <w:t xml:space="preserve">47</w:t>
            </w:r>
          </w:p>
        </w:tc>
      </w:tr>
    </w:tbl>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Dynamic Forecast In Finance, accessed August 19, 2025, </w:t>
      </w:r>
      <w:hyperlink r:id="rId6">
        <w:r w:rsidDel="00000000" w:rsidR="00000000" w:rsidRPr="00000000">
          <w:rPr>
            <w:rFonts w:ascii="Google Sans" w:cs="Google Sans" w:eastAsia="Google Sans" w:hAnsi="Google Sans"/>
            <w:color w:val="0000ee"/>
            <w:sz w:val="24"/>
            <w:szCs w:val="24"/>
            <w:u w:val="single"/>
            <w:rtl w:val="0"/>
          </w:rPr>
          <w:t xml:space="preserve">https://www.f9finance.com/dynamic-forecast/</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Regime Switching Models - MDPI, accessed August 19, 2025, </w:t>
      </w:r>
      <w:hyperlink r:id="rId7">
        <w:r w:rsidDel="00000000" w:rsidR="00000000" w:rsidRPr="00000000">
          <w:rPr>
            <w:rFonts w:ascii="Google Sans" w:cs="Google Sans" w:eastAsia="Google Sans" w:hAnsi="Google Sans"/>
            <w:color w:val="0000ee"/>
            <w:sz w:val="24"/>
            <w:szCs w:val="24"/>
            <w:u w:val="single"/>
            <w:rtl w:val="0"/>
          </w:rPr>
          <w:t xml:space="preserve">https://www.mdpi.com/2227-7390/13/7/1128</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Uncertainty as Ambiguity: a Review | NBER - National ..., accessed August 19, 2025, </w:t>
      </w:r>
      <w:hyperlink r:id="rId8">
        <w:r w:rsidDel="00000000" w:rsidR="00000000" w:rsidRPr="00000000">
          <w:rPr>
            <w:rFonts w:ascii="Google Sans" w:cs="Google Sans" w:eastAsia="Google Sans" w:hAnsi="Google Sans"/>
            <w:color w:val="0000ee"/>
            <w:sz w:val="24"/>
            <w:szCs w:val="24"/>
            <w:u w:val="single"/>
            <w:rtl w:val="0"/>
          </w:rPr>
          <w:t xml:space="preserve">https://www.nber.org/system/files/working_papers/w29915/revisions/w29915.rev0.pdf</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NBER WORKING PAPER SERIES MODELING UNCERTAINTY AS AMBIGUITY, accessed August 19, 2025, </w:t>
      </w:r>
      <w:hyperlink r:id="rId9">
        <w:r w:rsidDel="00000000" w:rsidR="00000000" w:rsidRPr="00000000">
          <w:rPr>
            <w:rFonts w:ascii="Google Sans" w:cs="Google Sans" w:eastAsia="Google Sans" w:hAnsi="Google Sans"/>
            <w:color w:val="0000ee"/>
            <w:sz w:val="24"/>
            <w:szCs w:val="24"/>
            <w:u w:val="single"/>
            <w:rtl w:val="0"/>
          </w:rPr>
          <w:t xml:space="preserve">https://www.nber.org/system/files/working_papers/w29915/w29915.pdf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Uncertainty, Ambiguity Aversion, and Market Participation, accessed August 19, 2025, </w:t>
      </w:r>
      <w:hyperlink r:id="rId10">
        <w:r w:rsidDel="00000000" w:rsidR="00000000" w:rsidRPr="00000000">
          <w:rPr>
            <w:rFonts w:ascii="Google Sans" w:cs="Google Sans" w:eastAsia="Google Sans" w:hAnsi="Google Sans"/>
            <w:color w:val="0000ee"/>
            <w:sz w:val="24"/>
            <w:szCs w:val="24"/>
            <w:u w:val="single"/>
            <w:rtl w:val="0"/>
          </w:rPr>
          <w:t xml:space="preserve">https://bpb-us-e2.wpmucdn.com/sites.uci.edu/dist/c/362/files/2017/07/Model-Uncertainty_DCS_17_working.pdf</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Uncertainty, Ambiguity Aversion, and Market Participation - UCI Sites, accessed August 19, 2025, </w:t>
      </w:r>
      <w:hyperlink r:id="rId11">
        <w:r w:rsidDel="00000000" w:rsidR="00000000" w:rsidRPr="00000000">
          <w:rPr>
            <w:rFonts w:ascii="Google Sans" w:cs="Google Sans" w:eastAsia="Google Sans" w:hAnsi="Google Sans"/>
            <w:color w:val="0000ee"/>
            <w:sz w:val="24"/>
            <w:szCs w:val="24"/>
            <w:u w:val="single"/>
            <w:rtl w:val="0"/>
          </w:rPr>
          <w:t xml:space="preserve">https://sites.uci.edu/dhirshle/files/2017/10/Model-Uncertainty-Ambiguity-Aversionand-Market-Participation_HHT.pdf</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Optimization and Ambiguity Aversion - Junior Management Science, accessed August 19, 2025, </w:t>
      </w:r>
      <w:hyperlink r:id="rId12">
        <w:r w:rsidDel="00000000" w:rsidR="00000000" w:rsidRPr="00000000">
          <w:rPr>
            <w:rFonts w:ascii="Google Sans" w:cs="Google Sans" w:eastAsia="Google Sans" w:hAnsi="Google Sans"/>
            <w:color w:val="0000ee"/>
            <w:sz w:val="24"/>
            <w:szCs w:val="24"/>
            <w:u w:val="single"/>
            <w:rtl w:val="0"/>
          </w:rPr>
          <w:t xml:space="preserve">https://jums.academy/wp-content/uploads/2019/09/MA_Kellerer.pdf</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the Dynamic Interrelationship between Economic ..., accessed August 19, 2025, </w:t>
      </w:r>
      <w:hyperlink r:id="rId13">
        <w:r w:rsidDel="00000000" w:rsidR="00000000" w:rsidRPr="00000000">
          <w:rPr>
            <w:rFonts w:ascii="Google Sans" w:cs="Google Sans" w:eastAsia="Google Sans" w:hAnsi="Google Sans"/>
            <w:color w:val="0000ee"/>
            <w:sz w:val="24"/>
            <w:szCs w:val="24"/>
            <w:u w:val="single"/>
            <w:rtl w:val="0"/>
          </w:rPr>
          <w:t xml:space="preserve">https://www.mdpi.com/1911-8074/17/8/347</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Ambiguity aversion and heterogeneity in financial markets: An empirical and theoretical perspective - Tilburg University Research Portal, accessed August 18, 2025, </w:t>
      </w:r>
      <w:hyperlink r:id="rId14">
        <w:r w:rsidDel="00000000" w:rsidR="00000000" w:rsidRPr="00000000">
          <w:rPr>
            <w:rFonts w:ascii="Google Sans" w:cs="Google Sans" w:eastAsia="Google Sans" w:hAnsi="Google Sans"/>
            <w:color w:val="0000ee"/>
            <w:sz w:val="24"/>
            <w:szCs w:val="24"/>
            <w:u w:val="single"/>
            <w:rtl w:val="0"/>
          </w:rPr>
          <w:t xml:space="preserve">https://research.tilburguniversity.edu/files/1518708/thesis_final_15_04_2013_Pataracchia.pdf</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Adaptive Models? | Glossary | HPE AFRICA, accessed August 19, 2025, </w:t>
      </w:r>
      <w:hyperlink r:id="rId15">
        <w:r w:rsidDel="00000000" w:rsidR="00000000" w:rsidRPr="00000000">
          <w:rPr>
            <w:rFonts w:ascii="Google Sans" w:cs="Google Sans" w:eastAsia="Google Sans" w:hAnsi="Google Sans"/>
            <w:color w:val="0000ee"/>
            <w:sz w:val="24"/>
            <w:szCs w:val="24"/>
            <w:u w:val="single"/>
            <w:rtl w:val="0"/>
          </w:rPr>
          <w:t xml:space="preserve">https://www.hpe.com/emea_africa/en/what-is/adaptive-models.html</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Ambiguity Aversion - Federal Reserve Board, accessed August 19, 2025, </w:t>
      </w:r>
      <w:hyperlink r:id="rId16">
        <w:r w:rsidDel="00000000" w:rsidR="00000000" w:rsidRPr="00000000">
          <w:rPr>
            <w:rFonts w:ascii="Google Sans" w:cs="Google Sans" w:eastAsia="Google Sans" w:hAnsi="Google Sans"/>
            <w:color w:val="0000ee"/>
            <w:sz w:val="24"/>
            <w:szCs w:val="24"/>
            <w:u w:val="single"/>
            <w:rtl w:val="0"/>
          </w:rPr>
          <w:t xml:space="preserve">https://www.federalreserve.gov/econresdata/feds/2015/files/2015105pap.pdf</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Ambiguous Business Cycles - www-snb-ch, accessed August 19, 2025, </w:t>
      </w:r>
      <w:hyperlink r:id="rId17">
        <w:r w:rsidDel="00000000" w:rsidR="00000000" w:rsidRPr="00000000">
          <w:rPr>
            <w:rFonts w:ascii="Google Sans" w:cs="Google Sans" w:eastAsia="Google Sans" w:hAnsi="Google Sans"/>
            <w:color w:val="0000ee"/>
            <w:sz w:val="24"/>
            <w:szCs w:val="24"/>
            <w:u w:val="single"/>
            <w:rtl w:val="0"/>
          </w:rPr>
          <w:t xml:space="preserve">https://www.snb.ch/dam/jcr:220726fc-8296-4739-add5-6fd6d3c3e7ce/sem_2011_11_10_ilut.n.pdf</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[0802.0220] Forecasting with time-varying vector autoregressive models - arXiv, accessed August 19, 2025, </w:t>
      </w:r>
      <w:hyperlink r:id="rId18">
        <w:r w:rsidDel="00000000" w:rsidR="00000000" w:rsidRPr="00000000">
          <w:rPr>
            <w:rFonts w:ascii="Google Sans" w:cs="Google Sans" w:eastAsia="Google Sans" w:hAnsi="Google Sans"/>
            <w:color w:val="0000ee"/>
            <w:sz w:val="24"/>
            <w:szCs w:val="24"/>
            <w:u w:val="single"/>
            <w:rtl w:val="0"/>
          </w:rPr>
          <w:t xml:space="preserve">https://arxiv.org/abs/0802.0220</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CBOE Volatility Index (VIX) in Investing, accessed August 19, 2025, </w:t>
      </w:r>
      <w:hyperlink r:id="rId19">
        <w:r w:rsidDel="00000000" w:rsidR="00000000" w:rsidRPr="00000000">
          <w:rPr>
            <w:rFonts w:ascii="Google Sans" w:cs="Google Sans" w:eastAsia="Google Sans" w:hAnsi="Google Sans"/>
            <w:color w:val="0000ee"/>
            <w:sz w:val="24"/>
            <w:szCs w:val="24"/>
            <w:u w:val="single"/>
            <w:rtl w:val="0"/>
          </w:rPr>
          <w:t xml:space="preserve">https://www.investopedia.com/terms/v/vix.asp</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Methodology - Economic Policy Uncertainty Index, accessed August 19, 2025, </w:t>
      </w:r>
      <w:hyperlink r:id="rId20">
        <w:r w:rsidDel="00000000" w:rsidR="00000000" w:rsidRPr="00000000">
          <w:rPr>
            <w:rFonts w:ascii="Google Sans" w:cs="Google Sans" w:eastAsia="Google Sans" w:hAnsi="Google Sans"/>
            <w:color w:val="0000ee"/>
            <w:sz w:val="24"/>
            <w:szCs w:val="24"/>
            <w:u w:val="single"/>
            <w:rtl w:val="0"/>
          </w:rPr>
          <w:t xml:space="preserve">https://www.policyuncertainty.com/methodology.html</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main.tex</w:t>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Ambiguity Aversion and the Influence of Analysts - ResearchGate, accessed August 19, 2025,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https://www.researchgate.net/publication/256015550_Ambiguity_Aversion_and_the_Influence_of_Analysts</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Asset pricing and Ambiguity: Empirical Evidence - NYU Stern, accessed September 1, 2025, </w:t>
      </w:r>
      <w:hyperlink r:id="rId22">
        <w:r w:rsidDel="00000000" w:rsidR="00000000" w:rsidRPr="00000000">
          <w:rPr>
            <w:rFonts w:ascii="Google Sans" w:cs="Google Sans" w:eastAsia="Google Sans" w:hAnsi="Google Sans"/>
            <w:color w:val="0000ee"/>
            <w:sz w:val="24"/>
            <w:szCs w:val="24"/>
            <w:u w:val="single"/>
            <w:rtl w:val="0"/>
          </w:rPr>
          <w:t xml:space="preserve">https://pages.stern.nyu.edu/~mbrenner/research/brenner-izhakian-asset-pricing.pdf</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Ambiguity, Long-Run Risks, and Asset Prices - IDEAS/RePEc, accessed September 1, 2025, </w:t>
      </w:r>
      <w:hyperlink r:id="rId23">
        <w:r w:rsidDel="00000000" w:rsidR="00000000" w:rsidRPr="00000000">
          <w:rPr>
            <w:rFonts w:ascii="Google Sans" w:cs="Google Sans" w:eastAsia="Google Sans" w:hAnsi="Google Sans"/>
            <w:color w:val="0000ee"/>
            <w:sz w:val="24"/>
            <w:szCs w:val="24"/>
            <w:u w:val="single"/>
            <w:rtl w:val="0"/>
          </w:rPr>
          <w:t xml:space="preserve">https://ideas.repec.org/p/fip/fedawp/93476.html</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Fundamental Equity Premium and Ambiguity Aversion in an International Context, accessed September 1, 2025, </w:t>
      </w:r>
      <w:hyperlink r:id="rId24">
        <w:r w:rsidDel="00000000" w:rsidR="00000000" w:rsidRPr="00000000">
          <w:rPr>
            <w:rFonts w:ascii="Google Sans" w:cs="Google Sans" w:eastAsia="Google Sans" w:hAnsi="Google Sans"/>
            <w:color w:val="0000ee"/>
            <w:sz w:val="24"/>
            <w:szCs w:val="24"/>
            <w:u w:val="single"/>
            <w:rtl w:val="0"/>
          </w:rPr>
          <w:t xml:space="preserve">https://www.mdpi.com/2227-9091/6/4/128</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Individual Ambiguity Aversion: A Simple Approach, accessed August 19, 2025, </w:t>
      </w:r>
      <w:hyperlink r:id="rId25">
        <w:r w:rsidDel="00000000" w:rsidR="00000000" w:rsidRPr="00000000">
          <w:rPr>
            <w:rFonts w:ascii="Google Sans" w:cs="Google Sans" w:eastAsia="Google Sans" w:hAnsi="Google Sans"/>
            <w:color w:val="0000ee"/>
            <w:sz w:val="24"/>
            <w:szCs w:val="24"/>
            <w:u w:val="single"/>
            <w:rtl w:val="0"/>
          </w:rPr>
          <w:t xml:space="preserve">https://www.nber.org/system/files/working_papers/w20982/w20982.pdf</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Ambiguity Aversion - Newristics, accessed August 19, 2025, </w:t>
      </w:r>
      <w:hyperlink r:id="rId26">
        <w:r w:rsidDel="00000000" w:rsidR="00000000" w:rsidRPr="00000000">
          <w:rPr>
            <w:rFonts w:ascii="Google Sans" w:cs="Google Sans" w:eastAsia="Google Sans" w:hAnsi="Google Sans"/>
            <w:color w:val="0000ee"/>
            <w:sz w:val="24"/>
            <w:szCs w:val="24"/>
            <w:u w:val="single"/>
            <w:rtl w:val="0"/>
          </w:rPr>
          <w:t xml:space="preserve">https://newristics.com/heuristics-biases/ambiguity-aversion</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Concentration, Portfolio Inertia, and Ambiguous Correlation, accessed August 19, 2025, </w:t>
      </w:r>
      <w:hyperlink r:id="rId27">
        <w:r w:rsidDel="00000000" w:rsidR="00000000" w:rsidRPr="00000000">
          <w:rPr>
            <w:rFonts w:ascii="Google Sans" w:cs="Google Sans" w:eastAsia="Google Sans" w:hAnsi="Google Sans"/>
            <w:color w:val="0000ee"/>
            <w:sz w:val="24"/>
            <w:szCs w:val="24"/>
            <w:u w:val="single"/>
            <w:rtl w:val="0"/>
          </w:rPr>
          <w:t xml:space="preserve">https://rady.ucsd.edu/_files/faculty-research/liu/Liu_Paper_Portfolio-Inertia.pdf</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DISCRIMINATING BETWEEN MODELS OF ... - Oxford Academic, accessed August 19, 2025, </w:t>
      </w:r>
      <w:hyperlink r:id="rId28">
        <w:r w:rsidDel="00000000" w:rsidR="00000000" w:rsidRPr="00000000">
          <w:rPr>
            <w:rFonts w:ascii="Google Sans" w:cs="Google Sans" w:eastAsia="Google Sans" w:hAnsi="Google Sans"/>
            <w:color w:val="0000ee"/>
            <w:sz w:val="24"/>
            <w:szCs w:val="24"/>
            <w:u w:val="single"/>
            <w:rtl w:val="0"/>
          </w:rPr>
          <w:t xml:space="preserve">https://academic.oup.com/jeea/article-pdf/18/2/708/33048319/jvz005.pdf</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Ambiguity Aversion as Aversion to Utility Dispersion Caused by Ambiguous Events Pavlo Blavatskyy Abstract - THEMA, accessed August 19, 2025, </w:t>
      </w:r>
      <w:hyperlink r:id="rId29">
        <w:r w:rsidDel="00000000" w:rsidR="00000000" w:rsidRPr="00000000">
          <w:rPr>
            <w:rFonts w:ascii="Google Sans" w:cs="Google Sans" w:eastAsia="Google Sans" w:hAnsi="Google Sans"/>
            <w:color w:val="0000ee"/>
            <w:sz w:val="24"/>
            <w:szCs w:val="24"/>
            <w:u w:val="single"/>
            <w:rtl w:val="0"/>
          </w:rPr>
          <w:t xml:space="preserve">https://thema.u-cergy.fr/IMG/pdf/Seminaire_AEE_du_19-01-12.pdf</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Alternative Estimation Method for Time-Varying Parameter Models - MDPI, accessed August 19, 2025, </w:t>
      </w:r>
      <w:hyperlink r:id="rId30">
        <w:r w:rsidDel="00000000" w:rsidR="00000000" w:rsidRPr="00000000">
          <w:rPr>
            <w:rFonts w:ascii="Google Sans" w:cs="Google Sans" w:eastAsia="Google Sans" w:hAnsi="Google Sans"/>
            <w:color w:val="0000ee"/>
            <w:sz w:val="24"/>
            <w:szCs w:val="24"/>
            <w:u w:val="single"/>
            <w:rtl w:val="0"/>
          </w:rPr>
          <w:t xml:space="preserve">https://www.mdpi.com/2225-1146/10/2/23</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Regime-Switching Models in Finance - Number Analytics, accessed August 19, 2025, </w:t>
      </w:r>
      <w:hyperlink r:id="rId31">
        <w:r w:rsidDel="00000000" w:rsidR="00000000" w:rsidRPr="00000000">
          <w:rPr>
            <w:rFonts w:ascii="Google Sans" w:cs="Google Sans" w:eastAsia="Google Sans" w:hAnsi="Google Sans"/>
            <w:color w:val="0000ee"/>
            <w:sz w:val="24"/>
            <w:szCs w:val="24"/>
            <w:u w:val="single"/>
            <w:rtl w:val="0"/>
          </w:rPr>
          <w:t xml:space="preserve">https://www.numberanalytics.com/blog/regime-switching-models-computational-finance</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Regime-Switching Models - DayTrading.com, accessed August 19, 2025, </w:t>
      </w:r>
      <w:hyperlink r:id="rId32">
        <w:r w:rsidDel="00000000" w:rsidR="00000000" w:rsidRPr="00000000">
          <w:rPr>
            <w:rFonts w:ascii="Google Sans" w:cs="Google Sans" w:eastAsia="Google Sans" w:hAnsi="Google Sans"/>
            <w:color w:val="0000ee"/>
            <w:sz w:val="24"/>
            <w:szCs w:val="24"/>
            <w:u w:val="single"/>
            <w:rtl w:val="0"/>
          </w:rPr>
          <w:t xml:space="preserve">https://www.daytrading.com/regime-switching-models</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Extrapolation Bias and Dynamic Liquidity Management - W. P. Carey School of Business, accessed August 18, 2025, </w:t>
      </w:r>
      <w:hyperlink r:id="rId33">
        <w:r w:rsidDel="00000000" w:rsidR="00000000" w:rsidRPr="00000000">
          <w:rPr>
            <w:rFonts w:ascii="Google Sans" w:cs="Google Sans" w:eastAsia="Google Sans" w:hAnsi="Google Sans"/>
            <w:color w:val="0000ee"/>
            <w:sz w:val="24"/>
            <w:szCs w:val="24"/>
            <w:u w:val="single"/>
            <w:rtl w:val="0"/>
          </w:rPr>
          <w:t xml:space="preserve">https://wpcarey.asu.edu/sites/g/files/litvpz246/files/2021-11/alejandro_rivera_seminar_paper_november_22_2019.pdf</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Varying Coefficient Models - University of Leicester, accessed August 19, 2025, </w:t>
      </w:r>
      <w:hyperlink r:id="rId34">
        <w:r w:rsidDel="00000000" w:rsidR="00000000" w:rsidRPr="00000000">
          <w:rPr>
            <w:rFonts w:ascii="Google Sans" w:cs="Google Sans" w:eastAsia="Google Sans" w:hAnsi="Google Sans"/>
            <w:color w:val="0000ee"/>
            <w:sz w:val="24"/>
            <w:szCs w:val="24"/>
            <w:u w:val="single"/>
            <w:rtl w:val="0"/>
          </w:rPr>
          <w:t xml:space="preserve">https://www.le.ac.uk/economics/research/RePEc/lec/leecon/dp14-18.pdf?uol_r=d307e306</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Approach to Building Risk Models of Financial Systems - CEUR-WS.org, accessed August 19, 2025, </w:t>
      </w:r>
      <w:hyperlink r:id="rId35">
        <w:r w:rsidDel="00000000" w:rsidR="00000000" w:rsidRPr="00000000">
          <w:rPr>
            <w:rFonts w:ascii="Google Sans" w:cs="Google Sans" w:eastAsia="Google Sans" w:hAnsi="Google Sans"/>
            <w:color w:val="0000ee"/>
            <w:sz w:val="24"/>
            <w:szCs w:val="24"/>
            <w:u w:val="single"/>
            <w:rtl w:val="0"/>
          </w:rPr>
          <w:t xml:space="preserve">https://ceur-ws.org/Vol-2859/paper8.pdf</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local VAR for dynamic economic policy uncertainty spillover - arXiv, accessed August 19, 2025, </w:t>
      </w:r>
      <w:hyperlink r:id="rId36">
        <w:r w:rsidDel="00000000" w:rsidR="00000000" w:rsidRPr="00000000">
          <w:rPr>
            <w:rFonts w:ascii="Google Sans" w:cs="Google Sans" w:eastAsia="Google Sans" w:hAnsi="Google Sans"/>
            <w:color w:val="0000ee"/>
            <w:sz w:val="24"/>
            <w:szCs w:val="24"/>
            <w:u w:val="single"/>
            <w:rtl w:val="0"/>
          </w:rPr>
          <w:t xml:space="preserve">https://arxiv.org/pdf/2302.02808</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predict financial stress? An assessment of Markov switching models - European Central Bank, accessed August 19, 2025, </w:t>
      </w:r>
      <w:hyperlink r:id="rId37">
        <w:r w:rsidDel="00000000" w:rsidR="00000000" w:rsidRPr="00000000">
          <w:rPr>
            <w:rFonts w:ascii="Google Sans" w:cs="Google Sans" w:eastAsia="Google Sans" w:hAnsi="Google Sans"/>
            <w:color w:val="0000ee"/>
            <w:sz w:val="24"/>
            <w:szCs w:val="24"/>
            <w:u w:val="single"/>
            <w:rtl w:val="0"/>
          </w:rPr>
          <w:t xml:space="preserve">https://www.ecb.europa.eu/pub/pdf/scpwps/ecb.wp2057.en.pdf</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mswitch — Markov-switching regression models - Description Quick ..., accessed September 1, 2025, </w:t>
      </w:r>
      <w:hyperlink r:id="rId38">
        <w:r w:rsidDel="00000000" w:rsidR="00000000" w:rsidRPr="00000000">
          <w:rPr>
            <w:rFonts w:ascii="Google Sans" w:cs="Google Sans" w:eastAsia="Google Sans" w:hAnsi="Google Sans"/>
            <w:color w:val="0000ee"/>
            <w:sz w:val="24"/>
            <w:szCs w:val="24"/>
            <w:u w:val="single"/>
            <w:rtl w:val="0"/>
          </w:rPr>
          <w:t xml:space="preserve">https://www.stata.com/manuals/tsmswitch.pdf</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Identification of speculative bubbles using state-space models with Markov-switching - MNB, accessed September 1, 2025, </w:t>
      </w:r>
      <w:hyperlink r:id="rId39">
        <w:r w:rsidDel="00000000" w:rsidR="00000000" w:rsidRPr="00000000">
          <w:rPr>
            <w:rFonts w:ascii="Google Sans" w:cs="Google Sans" w:eastAsia="Google Sans" w:hAnsi="Google Sans"/>
            <w:color w:val="0000ee"/>
            <w:sz w:val="24"/>
            <w:szCs w:val="24"/>
            <w:u w:val="single"/>
            <w:rtl w:val="0"/>
          </w:rPr>
          <w:t xml:space="preserve">https://www.mnb.hu/letoltes/wilflingbernd-20100303.pdf</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a Hybrid Model of Markov Switching and Machine Learning for Predicting Stock Prices - Osuva, accessed September 1, 2025, </w:t>
      </w:r>
      <w:hyperlink r:id="rId40">
        <w:r w:rsidDel="00000000" w:rsidR="00000000" w:rsidRPr="00000000">
          <w:rPr>
            <w:rFonts w:ascii="Google Sans" w:cs="Google Sans" w:eastAsia="Google Sans" w:hAnsi="Google Sans"/>
            <w:color w:val="0000ee"/>
            <w:sz w:val="24"/>
            <w:szCs w:val="24"/>
            <w:u w:val="single"/>
            <w:rtl w:val="0"/>
          </w:rPr>
          <w:t xml:space="preserve">https://osuva.uwasa.fi/bitstreams/a1618f7e-e3ce-4e54-ad6a-15f2181b56d3/download</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Inducing sparsity and shrinkage in time-varying parameter models - European Central Bank, accessed August 19, 2025, </w:t>
      </w:r>
      <w:hyperlink r:id="rId41">
        <w:r w:rsidDel="00000000" w:rsidR="00000000" w:rsidRPr="00000000">
          <w:rPr>
            <w:rFonts w:ascii="Google Sans" w:cs="Google Sans" w:eastAsia="Google Sans" w:hAnsi="Google Sans"/>
            <w:color w:val="0000ee"/>
            <w:sz w:val="24"/>
            <w:szCs w:val="24"/>
            <w:u w:val="single"/>
            <w:rtl w:val="0"/>
          </w:rPr>
          <w:t xml:space="preserve">https://www.ecb.europa.eu/pub/pdf/scpwps/ecb.wp2325~e63f8eb1b0.en.pdf</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Time-Varying Parameter VAR Model with Stochastic Volatility: An ..., accessed August 19, 2025, </w:t>
      </w:r>
      <w:hyperlink r:id="rId42">
        <w:r w:rsidDel="00000000" w:rsidR="00000000" w:rsidRPr="00000000">
          <w:rPr>
            <w:rFonts w:ascii="Google Sans" w:cs="Google Sans" w:eastAsia="Google Sans" w:hAnsi="Google Sans"/>
            <w:color w:val="0000ee"/>
            <w:sz w:val="24"/>
            <w:szCs w:val="24"/>
            <w:u w:val="single"/>
            <w:rtl w:val="0"/>
          </w:rPr>
          <w:t xml:space="preserve">https://www.imes.boj.or.jp/research/papers/english/me29-6.pdf</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Factor Models with Time-Varying Parameters: Measuring Changes in International Business Cycles - Federal Reserve Bank of New York, accessed August 19, 2025, </w:t>
      </w:r>
      <w:hyperlink r:id="rId43">
        <w:r w:rsidDel="00000000" w:rsidR="00000000" w:rsidRPr="00000000">
          <w:rPr>
            <w:rFonts w:ascii="Google Sans" w:cs="Google Sans" w:eastAsia="Google Sans" w:hAnsi="Google Sans"/>
            <w:color w:val="0000ee"/>
            <w:sz w:val="24"/>
            <w:szCs w:val="24"/>
            <w:u w:val="single"/>
            <w:rtl w:val="0"/>
          </w:rPr>
          <w:t xml:space="preserve">https://www.newyorkfed.org/medialibrary/media/research/staff_reports/sr326.pdf</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state space models with applications to the business cycle ..., accessed August 19, 2025, </w:t>
      </w:r>
      <w:hyperlink r:id="rId44">
        <w:r w:rsidDel="00000000" w:rsidR="00000000" w:rsidRPr="00000000">
          <w:rPr>
            <w:rFonts w:ascii="Google Sans" w:cs="Google Sans" w:eastAsia="Google Sans" w:hAnsi="Google Sans"/>
            <w:color w:val="0000ee"/>
            <w:sz w:val="24"/>
            <w:szCs w:val="24"/>
            <w:u w:val="single"/>
            <w:rtl w:val="0"/>
          </w:rPr>
          <w:t xml:space="preserve">https://www.ecb.europa.eu/press/conferences/shared/pdf/20180618_forecasting/Poster9_underlying_paper_Venditti_et_all.pdf</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Walk-Forward Optimization: How It Works, Its Limitations, and Backtesting Implementation, accessed August 19, 2025, </w:t>
      </w:r>
      <w:hyperlink r:id="rId45">
        <w:r w:rsidDel="00000000" w:rsidR="00000000" w:rsidRPr="00000000">
          <w:rPr>
            <w:rFonts w:ascii="Google Sans" w:cs="Google Sans" w:eastAsia="Google Sans" w:hAnsi="Google Sans"/>
            <w:color w:val="0000ee"/>
            <w:sz w:val="24"/>
            <w:szCs w:val="24"/>
            <w:u w:val="single"/>
            <w:rtl w:val="0"/>
          </w:rPr>
          <w:t xml:space="preserve">https://blog.quantinsti.com/walk-forward-optimization-introduction/</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Strategy Optimization: Example, Definition, Backtesting - QuantifiedStrategies.com, accessed August 19, 2025, </w:t>
      </w:r>
      <w:hyperlink r:id="rId46">
        <w:r w:rsidDel="00000000" w:rsidR="00000000" w:rsidRPr="00000000">
          <w:rPr>
            <w:rFonts w:ascii="Google Sans" w:cs="Google Sans" w:eastAsia="Google Sans" w:hAnsi="Google Sans"/>
            <w:color w:val="0000ee"/>
            <w:sz w:val="24"/>
            <w:szCs w:val="24"/>
            <w:u w:val="single"/>
            <w:rtl w:val="0"/>
          </w:rPr>
          <w:t xml:space="preserve">https://www.quantifiedstrategies.com/trading-strategy-optimization/</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Ambiguity about volatility and investor behavior | Request PDF - ResearchGate, accessed August 19, 2025,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https://www.researchgate.net/publication/353179245_Ambiguity_about_volatility_and_investor_behavior</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Aversion to ambiguity and model misspecification in dynamic ..., accessed August 19, 2025, </w:t>
      </w:r>
      <w:hyperlink r:id="rId48">
        <w:r w:rsidDel="00000000" w:rsidR="00000000" w:rsidRPr="00000000">
          <w:rPr>
            <w:rFonts w:ascii="Google Sans" w:cs="Google Sans" w:eastAsia="Google Sans" w:hAnsi="Google Sans"/>
            <w:color w:val="0000ee"/>
            <w:sz w:val="24"/>
            <w:szCs w:val="24"/>
            <w:u w:val="single"/>
            <w:rtl w:val="0"/>
          </w:rPr>
          <w:t xml:space="preserve">https://www.pnas.org/doi/10.1073/pnas.1811243115</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VIX Index? Your Guide to Understanding Market Fear and Managing Risk, accessed August 19, 2025, </w:t>
      </w:r>
      <w:hyperlink r:id="rId49">
        <w:r w:rsidDel="00000000" w:rsidR="00000000" w:rsidRPr="00000000">
          <w:rPr>
            <w:rFonts w:ascii="Google Sans" w:cs="Google Sans" w:eastAsia="Google Sans" w:hAnsi="Google Sans"/>
            <w:color w:val="0000ee"/>
            <w:sz w:val="24"/>
            <w:szCs w:val="24"/>
            <w:u w:val="single"/>
            <w:rtl w:val="0"/>
          </w:rPr>
          <w:t xml:space="preserve">https://www.investing.com/academy/trading/vix-index-definition/</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Dive: Key Econ Policy Uncertainty in Macro - Number Analytics, accessed August 19, 2025, </w:t>
      </w:r>
      <w:hyperlink r:id="rId50">
        <w:r w:rsidDel="00000000" w:rsidR="00000000" w:rsidRPr="00000000">
          <w:rPr>
            <w:rFonts w:ascii="Google Sans" w:cs="Google Sans" w:eastAsia="Google Sans" w:hAnsi="Google Sans"/>
            <w:color w:val="0000ee"/>
            <w:sz w:val="24"/>
            <w:szCs w:val="24"/>
            <w:u w:val="single"/>
            <w:rtl w:val="0"/>
          </w:rPr>
          <w:t xml:space="preserve">https://www.numberanalytics.com/blog/econ-policy-uncertainty-macro-guide</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Investors Intelligence Sentiment Index: What it is, How it Works, accessed August 19, 2025, </w:t>
      </w:r>
      <w:hyperlink r:id="rId51">
        <w:r w:rsidDel="00000000" w:rsidR="00000000" w:rsidRPr="00000000">
          <w:rPr>
            <w:rFonts w:ascii="Google Sans" w:cs="Google Sans" w:eastAsia="Google Sans" w:hAnsi="Google Sans"/>
            <w:color w:val="0000ee"/>
            <w:sz w:val="24"/>
            <w:szCs w:val="24"/>
            <w:u w:val="single"/>
            <w:rtl w:val="0"/>
          </w:rPr>
          <w:t xml:space="preserve">https://www.investopedia.com/articles/trading/03/100103.asp</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www.investopedia.com, accessed August 19, 2025, </w:t>
      </w:r>
      <w:hyperlink r:id="rId52">
        <w:r w:rsidDel="00000000" w:rsidR="00000000" w:rsidRPr="00000000">
          <w:rPr>
            <w:rFonts w:ascii="Google Sans" w:cs="Google Sans" w:eastAsia="Google Sans" w:hAnsi="Google Sans"/>
            <w:color w:val="0000ee"/>
            <w:sz w:val="24"/>
            <w:szCs w:val="24"/>
            <w:u w:val="single"/>
            <w:rtl w:val="0"/>
          </w:rPr>
          <w:t xml:space="preserve">https://www.investopedia.com/articles/trading/03/100103.asp#:~:text=The%20Sentiment%20Index%20Ranking&amp;text=This%20indicates%20a%20potential%20downward,change%20in%20a%20positive%20direction.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suva.uwasa.fi/bitstreams/a1618f7e-e3ce-4e54-ad6a-15f2181b56d3/download" TargetMode="External"/><Relationship Id="rId42" Type="http://schemas.openxmlformats.org/officeDocument/2006/relationships/hyperlink" Target="https://www.imes.boj.or.jp/research/papers/english/me29-6.pdf" TargetMode="External"/><Relationship Id="rId41" Type="http://schemas.openxmlformats.org/officeDocument/2006/relationships/hyperlink" Target="https://www.ecb.europa.eu/pub/pdf/scpwps/ecb.wp2325~e63f8eb1b0.en.pdf" TargetMode="External"/><Relationship Id="rId44" Type="http://schemas.openxmlformats.org/officeDocument/2006/relationships/hyperlink" Target="https://www.ecb.europa.eu/press/conferences/shared/pdf/20180618_forecasting/Poster9_underlying_paper_Venditti_et_all.pdf" TargetMode="External"/><Relationship Id="rId43" Type="http://schemas.openxmlformats.org/officeDocument/2006/relationships/hyperlink" Target="https://www.newyorkfed.org/medialibrary/media/research/staff_reports/sr326.pdf" TargetMode="External"/><Relationship Id="rId46" Type="http://schemas.openxmlformats.org/officeDocument/2006/relationships/hyperlink" Target="https://www.quantifiedstrategies.com/trading-strategy-optimization/" TargetMode="External"/><Relationship Id="rId45" Type="http://schemas.openxmlformats.org/officeDocument/2006/relationships/hyperlink" Target="https://blog.quantinsti.com/walk-forward-optimization-introdu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ber.org/system/files/working_papers/w29915/w29915.pdf" TargetMode="External"/><Relationship Id="rId48" Type="http://schemas.openxmlformats.org/officeDocument/2006/relationships/hyperlink" Target="https://www.pnas.org/doi/10.1073/pnas.1811243115" TargetMode="External"/><Relationship Id="rId47" Type="http://schemas.openxmlformats.org/officeDocument/2006/relationships/hyperlink" Target="https://www.researchgate.net/publication/353179245_Ambiguity_about_volatility_and_investor_behavior" TargetMode="External"/><Relationship Id="rId49" Type="http://schemas.openxmlformats.org/officeDocument/2006/relationships/hyperlink" Target="https://www.investing.com/academy/trading/vix-index-definition/" TargetMode="External"/><Relationship Id="rId5" Type="http://schemas.openxmlformats.org/officeDocument/2006/relationships/styles" Target="styles.xml"/><Relationship Id="rId6" Type="http://schemas.openxmlformats.org/officeDocument/2006/relationships/hyperlink" Target="https://www.f9finance.com/dynamic-forecast/" TargetMode="External"/><Relationship Id="rId7" Type="http://schemas.openxmlformats.org/officeDocument/2006/relationships/hyperlink" Target="https://www.mdpi.com/2227-7390/13/7/1128" TargetMode="External"/><Relationship Id="rId8" Type="http://schemas.openxmlformats.org/officeDocument/2006/relationships/hyperlink" Target="https://www.nber.org/system/files/working_papers/w29915/revisions/w29915.rev0.pdf" TargetMode="External"/><Relationship Id="rId31" Type="http://schemas.openxmlformats.org/officeDocument/2006/relationships/hyperlink" Target="https://www.numberanalytics.com/blog/regime-switching-models-computational-finance" TargetMode="External"/><Relationship Id="rId30" Type="http://schemas.openxmlformats.org/officeDocument/2006/relationships/hyperlink" Target="https://www.mdpi.com/2225-1146/10/2/23" TargetMode="External"/><Relationship Id="rId33" Type="http://schemas.openxmlformats.org/officeDocument/2006/relationships/hyperlink" Target="https://wpcarey.asu.edu/sites/g/files/litvpz246/files/2021-11/alejandro_rivera_seminar_paper_november_22_2019.pdf" TargetMode="External"/><Relationship Id="rId32" Type="http://schemas.openxmlformats.org/officeDocument/2006/relationships/hyperlink" Target="https://www.daytrading.com/regime-switching-models" TargetMode="External"/><Relationship Id="rId35" Type="http://schemas.openxmlformats.org/officeDocument/2006/relationships/hyperlink" Target="https://ceur-ws.org/Vol-2859/paper8.pdf" TargetMode="External"/><Relationship Id="rId34" Type="http://schemas.openxmlformats.org/officeDocument/2006/relationships/hyperlink" Target="https://www.le.ac.uk/economics/research/RePEc/lec/leecon/dp14-18.pdf?uol_r=d307e306" TargetMode="External"/><Relationship Id="rId37" Type="http://schemas.openxmlformats.org/officeDocument/2006/relationships/hyperlink" Target="https://www.ecb.europa.eu/pub/pdf/scpwps/ecb.wp2057.en.pdf" TargetMode="External"/><Relationship Id="rId36" Type="http://schemas.openxmlformats.org/officeDocument/2006/relationships/hyperlink" Target="https://arxiv.org/pdf/2302.02808" TargetMode="External"/><Relationship Id="rId39" Type="http://schemas.openxmlformats.org/officeDocument/2006/relationships/hyperlink" Target="https://www.mnb.hu/letoltes/wilflingbernd-20100303.pdf" TargetMode="External"/><Relationship Id="rId38" Type="http://schemas.openxmlformats.org/officeDocument/2006/relationships/hyperlink" Target="https://www.stata.com/manuals/tsmswitch.pdf" TargetMode="External"/><Relationship Id="rId20" Type="http://schemas.openxmlformats.org/officeDocument/2006/relationships/hyperlink" Target="https://www.policyuncertainty.com/methodology.html" TargetMode="External"/><Relationship Id="rId22" Type="http://schemas.openxmlformats.org/officeDocument/2006/relationships/hyperlink" Target="https://pages.stern.nyu.edu/~mbrenner/research/brenner-izhakian-asset-pricing.pdf" TargetMode="External"/><Relationship Id="rId21" Type="http://schemas.openxmlformats.org/officeDocument/2006/relationships/hyperlink" Target="https://www.researchgate.net/publication/256015550_Ambiguity_Aversion_and_the_Influence_of_Analysts" TargetMode="External"/><Relationship Id="rId24" Type="http://schemas.openxmlformats.org/officeDocument/2006/relationships/hyperlink" Target="https://www.mdpi.com/2227-9091/6/4/128" TargetMode="External"/><Relationship Id="rId23" Type="http://schemas.openxmlformats.org/officeDocument/2006/relationships/hyperlink" Target="https://ideas.repec.org/p/fip/fedawp/93476.html" TargetMode="External"/><Relationship Id="rId26" Type="http://schemas.openxmlformats.org/officeDocument/2006/relationships/hyperlink" Target="https://newristics.com/heuristics-biases/ambiguity-aversion" TargetMode="External"/><Relationship Id="rId25" Type="http://schemas.openxmlformats.org/officeDocument/2006/relationships/hyperlink" Target="https://www.nber.org/system/files/working_papers/w20982/w20982.pdf" TargetMode="External"/><Relationship Id="rId28" Type="http://schemas.openxmlformats.org/officeDocument/2006/relationships/hyperlink" Target="https://academic.oup.com/jeea/article-pdf/18/2/708/33048319/jvz005.pdf" TargetMode="External"/><Relationship Id="rId27" Type="http://schemas.openxmlformats.org/officeDocument/2006/relationships/hyperlink" Target="https://rady.ucsd.edu/_files/faculty-research/liu/Liu_Paper_Portfolio-Inertia.pdf" TargetMode="External"/><Relationship Id="rId29" Type="http://schemas.openxmlformats.org/officeDocument/2006/relationships/hyperlink" Target="https://thema.u-cergy.fr/IMG/pdf/Seminaire_AEE_du_19-01-12.pdf" TargetMode="External"/><Relationship Id="rId51" Type="http://schemas.openxmlformats.org/officeDocument/2006/relationships/hyperlink" Target="https://www.investopedia.com/articles/trading/03/100103.asp" TargetMode="External"/><Relationship Id="rId50" Type="http://schemas.openxmlformats.org/officeDocument/2006/relationships/hyperlink" Target="https://www.numberanalytics.com/blog/econ-policy-uncertainty-macro-guide" TargetMode="External"/><Relationship Id="rId52" Type="http://schemas.openxmlformats.org/officeDocument/2006/relationships/hyperlink" Target="https://www.investopedia.com/articles/trading/03/100103.asp#:~:text=The%20Sentiment%20Index%20Ranking&amp;text=This%20indicates%20a%20potential%20downward,change%20in%20a%20positive%20direction." TargetMode="External"/><Relationship Id="rId11" Type="http://schemas.openxmlformats.org/officeDocument/2006/relationships/hyperlink" Target="https://sites.uci.edu/dhirshle/files/2017/10/Model-Uncertainty-Ambiguity-Aversionand-Market-Participation_HHT.pdf" TargetMode="External"/><Relationship Id="rId10" Type="http://schemas.openxmlformats.org/officeDocument/2006/relationships/hyperlink" Target="https://bpb-us-e2.wpmucdn.com/sites.uci.edu/dist/c/362/files/2017/07/Model-Uncertainty_DCS_17_working.pdf" TargetMode="External"/><Relationship Id="rId13" Type="http://schemas.openxmlformats.org/officeDocument/2006/relationships/hyperlink" Target="https://www.mdpi.com/1911-8074/17/8/347" TargetMode="External"/><Relationship Id="rId12" Type="http://schemas.openxmlformats.org/officeDocument/2006/relationships/hyperlink" Target="https://jums.academy/wp-content/uploads/2019/09/MA_Kellerer.pdf" TargetMode="External"/><Relationship Id="rId15" Type="http://schemas.openxmlformats.org/officeDocument/2006/relationships/hyperlink" Target="https://www.hpe.com/emea_africa/en/what-is/adaptive-models.html" TargetMode="External"/><Relationship Id="rId14" Type="http://schemas.openxmlformats.org/officeDocument/2006/relationships/hyperlink" Target="https://research.tilburguniversity.edu/files/1518708/thesis_final_15_04_2013_Pataracchia.pdf" TargetMode="External"/><Relationship Id="rId17" Type="http://schemas.openxmlformats.org/officeDocument/2006/relationships/hyperlink" Target="https://www.snb.ch/dam/jcr:220726fc-8296-4739-add5-6fd6d3c3e7ce/sem_2011_11_10_ilut.n.pdf" TargetMode="External"/><Relationship Id="rId16" Type="http://schemas.openxmlformats.org/officeDocument/2006/relationships/hyperlink" Target="https://www.federalreserve.gov/econresdata/feds/2015/files/2015105pap.pdf" TargetMode="External"/><Relationship Id="rId19" Type="http://schemas.openxmlformats.org/officeDocument/2006/relationships/hyperlink" Target="https://www.investopedia.com/terms/v/vix.asp" TargetMode="External"/><Relationship Id="rId18" Type="http://schemas.openxmlformats.org/officeDocument/2006/relationships/hyperlink" Target="https://arxiv.org/abs/0802.02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