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B93558" w14:textId="53652719" w:rsidR="0074796C" w:rsidRPr="007F189E" w:rsidRDefault="00000000">
      <w:pPr>
        <w:pStyle w:val="Heading2"/>
        <w:rPr>
          <w:bCs/>
          <w:sz w:val="22"/>
          <w:szCs w:val="22"/>
        </w:rPr>
      </w:pPr>
      <w:r w:rsidRPr="007F189E">
        <w:rPr>
          <w:bCs/>
          <w:sz w:val="22"/>
          <w:szCs w:val="22"/>
        </w:rPr>
        <w:t xml:space="preserve">Author Statement </w:t>
      </w:r>
    </w:p>
    <w:p w14:paraId="39F64E02" w14:textId="77777777" w:rsidR="007F189E" w:rsidRDefault="007F189E"/>
    <w:p w14:paraId="3C404CE8" w14:textId="1A39E441" w:rsidR="0074796C" w:rsidRDefault="00000000">
      <w:r>
        <w:t>On behalf of all authors, we provide the following statements regarding data reliability and empirical replicability for the manuscript “Global Geopolitical Risk, Ambiguity, and Emerging Market Returns: Evidence from China.”</w:t>
      </w:r>
    </w:p>
    <w:p w14:paraId="662A33FD" w14:textId="77777777" w:rsidR="007F189E" w:rsidRDefault="007F189E" w:rsidP="007F189E"/>
    <w:p w14:paraId="09D33541" w14:textId="2DBA7BC0" w:rsidR="0074796C" w:rsidRDefault="00000000" w:rsidP="007F189E">
      <w:r>
        <w:t>Data Sources and Reliability</w:t>
      </w:r>
    </w:p>
    <w:p w14:paraId="06AEB158" w14:textId="77777777" w:rsidR="0074796C" w:rsidRDefault="00000000" w:rsidP="007F189E">
      <w:pPr>
        <w:numPr>
          <w:ilvl w:val="0"/>
          <w:numId w:val="6"/>
        </w:numPr>
      </w:pPr>
      <w:r>
        <w:t xml:space="preserve">GPR Index: Daily Geopolitical Risk (GPR) index developed by Caldara and </w:t>
      </w:r>
      <w:proofErr w:type="spellStart"/>
      <w:r>
        <w:t>Iacoviello</w:t>
      </w:r>
      <w:proofErr w:type="spellEnd"/>
      <w:r>
        <w:t xml:space="preserve"> (as referenced in the manuscript’s Data section).</w:t>
      </w:r>
    </w:p>
    <w:p w14:paraId="76D62F51" w14:textId="77777777" w:rsidR="0074796C" w:rsidRDefault="00000000" w:rsidP="007F189E">
      <w:pPr>
        <w:numPr>
          <w:ilvl w:val="0"/>
          <w:numId w:val="6"/>
        </w:numPr>
      </w:pPr>
      <w:r>
        <w:t>Market Returns: CSI 300 Index and A‑share constituent returns based on official exchange data from Shanghai and Shenzhen markets, consistent with the paper’s specifications.</w:t>
      </w:r>
    </w:p>
    <w:p w14:paraId="11E23907" w14:textId="77777777" w:rsidR="0074796C" w:rsidRDefault="00000000" w:rsidP="007F189E">
      <w:pPr>
        <w:numPr>
          <w:ilvl w:val="0"/>
          <w:numId w:val="6"/>
        </w:numPr>
      </w:pPr>
      <w:r>
        <w:t>VIX: CBOE Volatility Index (VIX), used to capture global risk sentiment, as stated in the paper.</w:t>
      </w:r>
    </w:p>
    <w:p w14:paraId="2EB28C19" w14:textId="77777777" w:rsidR="0074796C" w:rsidRDefault="00000000" w:rsidP="007F189E">
      <w:pPr>
        <w:numPr>
          <w:ilvl w:val="0"/>
          <w:numId w:val="6"/>
        </w:numPr>
      </w:pPr>
      <w:r>
        <w:t>Term Spread: Chinese government bond term spread (10‑year minus 1‑year yields), consistent with the paper’s macro controls.</w:t>
      </w:r>
    </w:p>
    <w:p w14:paraId="12B56AA9" w14:textId="77777777" w:rsidR="0074796C" w:rsidRDefault="00000000" w:rsidP="007F189E">
      <w:pPr>
        <w:numPr>
          <w:ilvl w:val="0"/>
          <w:numId w:val="6"/>
        </w:numPr>
      </w:pPr>
      <w:r>
        <w:t>Risk‑Free Rate: 3‑month SHIBOR, as specified in the paper.</w:t>
      </w:r>
    </w:p>
    <w:p w14:paraId="54C9851F" w14:textId="77777777" w:rsidR="0074796C" w:rsidRDefault="00000000" w:rsidP="007F189E">
      <w:pPr>
        <w:numPr>
          <w:ilvl w:val="0"/>
          <w:numId w:val="6"/>
        </w:numPr>
      </w:pPr>
      <w:r>
        <w:t>Ownership Classification: SOE status verified using WIND database classifications, as documented in the paper.</w:t>
      </w:r>
    </w:p>
    <w:p w14:paraId="5204EB26" w14:textId="77777777" w:rsidR="0074796C" w:rsidRDefault="00000000">
      <w:r>
        <w:t>We hereby affirm that all data are valid, reliable, and obtained and processed in accordance with standard academic and professional practices described in the manuscript.</w:t>
      </w:r>
    </w:p>
    <w:p w14:paraId="63E45464" w14:textId="77777777" w:rsidR="007F189E" w:rsidRDefault="007F189E" w:rsidP="007F189E"/>
    <w:p w14:paraId="21BDF86F" w14:textId="15511D78" w:rsidR="0074796C" w:rsidRDefault="00000000" w:rsidP="007F189E">
      <w:r>
        <w:t>Empirical Work and Replicability Commitment</w:t>
      </w:r>
    </w:p>
    <w:p w14:paraId="0FF075D2" w14:textId="77777777" w:rsidR="0074796C" w:rsidRDefault="00000000" w:rsidP="007F189E">
      <w:pPr>
        <w:numPr>
          <w:ilvl w:val="0"/>
          <w:numId w:val="5"/>
        </w:numPr>
      </w:pPr>
      <w:r>
        <w:t>All empirical data processing, computation of ambiguity measures, and statistical analyses were performed by the authors.</w:t>
      </w:r>
    </w:p>
    <w:p w14:paraId="16E4B54F" w14:textId="77777777" w:rsidR="0074796C" w:rsidRDefault="00000000" w:rsidP="007F189E">
      <w:pPr>
        <w:numPr>
          <w:ilvl w:val="0"/>
          <w:numId w:val="5"/>
        </w:numPr>
      </w:pPr>
      <w:r>
        <w:t>The empirical results are replicable following the procedures outlined in the manuscript (including the construction of daily ambiguity via cross‑entropy and the time‑series and cross‑sectional specifications).</w:t>
      </w:r>
    </w:p>
    <w:p w14:paraId="5F0C5E21" w14:textId="77777777" w:rsidR="0074796C" w:rsidRDefault="00000000" w:rsidP="007F189E">
      <w:pPr>
        <w:numPr>
          <w:ilvl w:val="0"/>
          <w:numId w:val="5"/>
        </w:numPr>
      </w:pPr>
      <w:r>
        <w:t>Upon acceptance of the paper, we will release the source code and a sample dataset in a public GitHub repository, together with documentation to assist replication.</w:t>
      </w:r>
    </w:p>
    <w:p w14:paraId="301A4FD7" w14:textId="77777777" w:rsidR="007F189E" w:rsidRDefault="007F189E"/>
    <w:p w14:paraId="48544029" w14:textId="77777777" w:rsidR="007F189E" w:rsidRDefault="007F189E"/>
    <w:p w14:paraId="0200EEC3" w14:textId="77777777" w:rsidR="007F189E" w:rsidRDefault="00000000">
      <w:proofErr w:type="spellStart"/>
      <w:r>
        <w:t>Jilong</w:t>
      </w:r>
      <w:proofErr w:type="spellEnd"/>
      <w:r>
        <w:t xml:space="preserve"> Chen </w:t>
      </w:r>
    </w:p>
    <w:p w14:paraId="78840E4C" w14:textId="632E4B05" w:rsidR="0074796C" w:rsidRDefault="00000000">
      <w:r>
        <w:t>On behalf of all authors</w:t>
      </w:r>
    </w:p>
    <w:sectPr w:rsidR="0074796C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02BD9"/>
    <w:multiLevelType w:val="multilevel"/>
    <w:tmpl w:val="E19235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231770DC"/>
    <w:multiLevelType w:val="multilevel"/>
    <w:tmpl w:val="0E24F9B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35E24CF5"/>
    <w:multiLevelType w:val="multilevel"/>
    <w:tmpl w:val="510CC8E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59251E02"/>
    <w:multiLevelType w:val="multilevel"/>
    <w:tmpl w:val="E432D1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71FB6A91"/>
    <w:multiLevelType w:val="multilevel"/>
    <w:tmpl w:val="ECF40E0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77F25295"/>
    <w:multiLevelType w:val="multilevel"/>
    <w:tmpl w:val="D39802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1506431259">
    <w:abstractNumId w:val="0"/>
  </w:num>
  <w:num w:numId="2" w16cid:durableId="1869365053">
    <w:abstractNumId w:val="3"/>
  </w:num>
  <w:num w:numId="3" w16cid:durableId="2083023200">
    <w:abstractNumId w:val="2"/>
  </w:num>
  <w:num w:numId="4" w16cid:durableId="834340472">
    <w:abstractNumId w:val="5"/>
  </w:num>
  <w:num w:numId="5" w16cid:durableId="499081271">
    <w:abstractNumId w:val="4"/>
  </w:num>
  <w:num w:numId="6" w16cid:durableId="2111001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796C"/>
    <w:rsid w:val="0063471B"/>
    <w:rsid w:val="0074796C"/>
    <w:rsid w:val="007F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1A1DD"/>
  <w15:docId w15:val="{BB64E1A5-1CB6-B04E-8FED-9537A48E1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He Ni</cp:lastModifiedBy>
  <cp:revision>2</cp:revision>
  <dcterms:created xsi:type="dcterms:W3CDTF">2026-01-18T01:37:00Z</dcterms:created>
  <dcterms:modified xsi:type="dcterms:W3CDTF">2026-01-18T02:22:00Z</dcterms:modified>
</cp:coreProperties>
</file>