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57216" w14:textId="77777777" w:rsidR="00A27DDF" w:rsidRDefault="00A27DDF">
      <w:pPr>
        <w:tabs>
          <w:tab w:val="num" w:pos="720"/>
        </w:tabs>
        <w:ind w:left="720" w:hanging="360"/>
      </w:pPr>
    </w:p>
    <w:p w14:paraId="382378FE" w14:textId="70E6EB09" w:rsidR="00A27DDF" w:rsidRPr="00A27DDF" w:rsidRDefault="00A27DDF" w:rsidP="00A27DDF">
      <w:pPr>
        <w:rPr>
          <w:b/>
          <w:bCs/>
        </w:rPr>
      </w:pPr>
      <w:r w:rsidRPr="00A27DDF">
        <w:rPr>
          <w:b/>
          <w:bCs/>
        </w:rPr>
        <w:t>Highlights</w:t>
      </w:r>
    </w:p>
    <w:p w14:paraId="070DE37C" w14:textId="77777777" w:rsidR="00A27DDF" w:rsidRDefault="00A27DDF" w:rsidP="00A27DDF"/>
    <w:p w14:paraId="5C189A93" w14:textId="6A03BC3F" w:rsidR="006B5690" w:rsidRDefault="00000000">
      <w:pPr>
        <w:numPr>
          <w:ilvl w:val="0"/>
          <w:numId w:val="1"/>
        </w:numPr>
      </w:pPr>
      <w:r>
        <w:t>Geopolitical risk raises financial ambiguity more than volatility, strengthening a distinct transmission channel to returns.</w:t>
      </w:r>
    </w:p>
    <w:p w14:paraId="36EED7BD" w14:textId="77777777" w:rsidR="006B5690" w:rsidRDefault="00000000">
      <w:pPr>
        <w:numPr>
          <w:ilvl w:val="0"/>
          <w:numId w:val="1"/>
        </w:numPr>
      </w:pPr>
      <w:r>
        <w:t>Ambiguity is negatively priced; including ambiguity improves model fit and reduces volatility’s apparent role in return dynamics.</w:t>
      </w:r>
    </w:p>
    <w:p w14:paraId="730FFFFE" w14:textId="77777777" w:rsidR="006B5690" w:rsidRDefault="00000000">
      <w:pPr>
        <w:numPr>
          <w:ilvl w:val="0"/>
          <w:numId w:val="1"/>
        </w:numPr>
      </w:pPr>
      <w:r>
        <w:t>SOEs exhibit weaker ambiguity pricing than non‑SOEs, consistent with institutional buffers and implicit guarantees.</w:t>
      </w:r>
    </w:p>
    <w:p w14:paraId="47DC97FA" w14:textId="77777777" w:rsidR="006B5690" w:rsidRDefault="00000000">
      <w:pPr>
        <w:numPr>
          <w:ilvl w:val="0"/>
          <w:numId w:val="1"/>
        </w:numPr>
      </w:pPr>
      <w:r>
        <w:t>A daily cross‑entropy–based ambiguity measure captures model uncertainty at high frequency with robust empirical performance.</w:t>
      </w:r>
    </w:p>
    <w:p w14:paraId="74BF3074" w14:textId="040C2001" w:rsidR="006B5690" w:rsidRDefault="00635C77" w:rsidP="00635C77">
      <w:pPr>
        <w:numPr>
          <w:ilvl w:val="0"/>
          <w:numId w:val="1"/>
        </w:numPr>
      </w:pPr>
      <w:r>
        <w:t>The</w:t>
      </w:r>
      <w:r w:rsidRPr="00635C77">
        <w:t xml:space="preserve"> findings</w:t>
      </w:r>
      <w:r>
        <w:t xml:space="preserve"> are validated by</w:t>
      </w:r>
      <w:r w:rsidRPr="00635C77">
        <w:t xml:space="preserve"> using time‑series analysis of the CSI 300, cross‑sectional portfolio regressions, instrumented GPR shocks, and event studies, with consistent reproduction across alternative specifications and samples.</w:t>
      </w:r>
    </w:p>
    <w:sectPr w:rsidR="006B569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7723FC"/>
    <w:multiLevelType w:val="multilevel"/>
    <w:tmpl w:val="62388E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204984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690"/>
    <w:rsid w:val="0063471B"/>
    <w:rsid w:val="00635C77"/>
    <w:rsid w:val="006B5690"/>
    <w:rsid w:val="00A2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42AE1"/>
  <w15:docId w15:val="{BB64E1A5-1CB6-B04E-8FED-9537A48E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He Ni</cp:lastModifiedBy>
  <cp:revision>3</cp:revision>
  <dcterms:created xsi:type="dcterms:W3CDTF">2026-01-18T01:37:00Z</dcterms:created>
  <dcterms:modified xsi:type="dcterms:W3CDTF">2026-01-18T02:19:00Z</dcterms:modified>
</cp:coreProperties>
</file>