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2"/>
        <w:spacing w:lineRule="auto"/>
      </w:pPr>
      <w:r>
        <w:rPr>
          <w:b/>
        </w:rPr>
        <w:t xml:space="preserve">Paper Title:</w:t>
      </w:r>
      <w:r>
        <w:rPr/>
        <w:t xml:space="preserve"> Global Geopolitical Risk, Ambiguity, and Emerging Market Returns: Evidence from China</w:t>
      </w:r>
    </w:p>
    <w:p>
      <w:pPr>
        <w:pStyle w:val="Heading3"/>
        <w:spacing w:lineRule="auto"/>
      </w:pPr>
      <w:r>
        <w:rPr/>
        <w:t xml:space="preserve">Recommendation (Confidential to the Editor)</w:t>
      </w:r>
    </w:p>
    <w:p>
      <w:pPr>
        <w:numPr>
          <w:ilvl w:val="0"/>
          <w:numId w:val="1"/>
        </w:numPr>
        <w:spacing w:lineRule="auto"/>
      </w:pPr>
      <w:r>
        <w:rPr/>
        <w:t xml:space="preserve">Major Revisions Required.</w:t>
      </w:r>
    </w:p>
    <w:p>
      <w:pPr>
        <w:numPr>
          <w:ilvl w:val="0"/>
          <w:numId w:val="1"/>
        </w:numPr>
        <w:spacing w:lineRule="auto"/>
      </w:pPr>
      <w:r>
        <w:rPr/>
        <w:t xml:space="preserve">The paper addresses an important question with promising methodology, but causal identification, measurement robustness, and generalizability require additional analyses; resolving these will materially strengthen the contribution.</w:t>
      </w:r>
    </w:p>
    <w:p>
      <w:pPr>
        <w:pStyle w:val="Heading3"/>
        <w:spacing w:lineRule="auto"/>
      </w:pPr>
      <w:r>
        <w:rPr/>
        <w:t xml:space="preserve">Summary</w:t>
      </w:r>
    </w:p>
    <w:p>
      <w:pPr>
        <w:spacing w:lineRule="auto"/>
      </w:pPr>
      <w:r>
        <w:rPr/>
        <w:t xml:space="preserve">The paper studies how global geopolitical risk affects Chinese equity returns via volatility and ambiguity. It builds a daily ambiguity measure using a cross-entropy/KL approach and tests pricing in time-series and cross-section, including mediation and SOE moderation. The results show GPR increases ambiguity, ambiguity is negatively priced, and adding ambiguity improves model fit.</w:t>
      </w:r>
    </w:p>
    <w:p>
      <w:pPr>
        <w:pStyle w:val="Heading3"/>
        <w:spacing w:lineRule="auto"/>
      </w:pPr>
      <w:r>
        <w:rPr/>
        <w:t xml:space="preserve">Major Comments</w:t>
      </w:r>
    </w:p>
    <w:p>
      <w:pPr>
        <w:numPr>
          <w:ilvl w:val="0"/>
          <w:numId w:val="2"/>
        </w:numPr>
        <w:spacing w:lineRule="auto"/>
      </w:pPr>
      <w:r>
        <w:rPr/>
        <w:t xml:space="preserve">The causal interpretation in the mediation analysis relies on strong assumptions and may be underidentified given potential confounders and timing frictions; clarify identification assumptions and timing choices, and provide a brief narrative explaining why the observed patterns are consistent with the intended causal pathway.</w:t>
      </w:r>
    </w:p>
    <w:p>
      <w:pPr>
        <w:numPr>
          <w:ilvl w:val="0"/>
          <w:numId w:val="2"/>
        </w:numPr>
        <w:spacing w:lineRule="auto"/>
      </w:pPr>
      <w:r>
        <w:rPr/>
        <w:t xml:space="preserve">The KL-based ambiguity measure depends on the choice of benchmark distributions and implicit stationarity across regimes; explain the rationale for benchmark selection and stationarity, and add a short methodological note discussing how plausible alternative choices would affect interpretation.</w:t>
      </w:r>
    </w:p>
    <w:p>
      <w:pPr>
        <w:numPr>
          <w:ilvl w:val="0"/>
          <w:numId w:val="2"/>
        </w:numPr>
        <w:spacing w:lineRule="auto"/>
      </w:pPr>
      <w:r>
        <w:rPr/>
        <w:t xml:space="preserve">Frequency and timing alignment between daily GPR, ambiguity, realized volatility, and market/stock returns could introduce measurement mismatch; clearly state timestamp conventions (local vs UTC), intraday aggregation rules, and lead–lag considerations, and comment on why the chosen alignment is appropriate.</w:t>
      </w:r>
    </w:p>
    <w:p>
      <w:pPr>
        <w:numPr>
          <w:ilvl w:val="0"/>
          <w:numId w:val="2"/>
        </w:numPr>
        <w:spacing w:lineRule="auto"/>
      </w:pPr>
      <w:r>
        <w:rPr/>
        <w:t xml:space="preserve">The SOE moderation may reflect sample composition or correlated institutional features rather than a distinct cushion from ambiguity; define SOE classification precisely, summarize sample characteristics, and discuss the mechanism in text with supportive descriptive evidence.</w:t>
      </w:r>
    </w:p>
    <w:p>
      <w:pPr>
        <w:numPr>
          <w:ilvl w:val="0"/>
          <w:numId w:val="2"/>
        </w:numPr>
        <w:spacing w:lineRule="auto"/>
      </w:pPr>
      <w:r>
        <w:rPr/>
        <w:t xml:space="preserve">The contribution would benefit from clearer positioning of the ambiguity channel relative to volatility-focused frameworks; refine the introduction and related work to emphasize incremental insight and practical relevance, and tighten the discussion of empirical results accordingly.</w:t>
      </w:r>
    </w:p>
    <w:p>
      <w:pPr>
        <w:pStyle w:val="Heading3"/>
        <w:spacing w:lineRule="auto"/>
      </w:pPr>
      <w:r>
        <w:rPr/>
        <w:t xml:space="preserve">Minor Comments</w:t>
      </w:r>
    </w:p>
    <w:p>
      <w:pPr>
        <w:numPr>
          <w:ilvl w:val="0"/>
          <w:numId w:val="3"/>
        </w:numPr>
        <w:spacing w:lineRule="auto"/>
      </w:pPr>
      <w:r>
        <w:rPr/>
        <w:t xml:space="preserve">Clarify the sample period and exact trading days for all subsamples (pre-COVID vs COVID) with start/end dates.</w:t>
      </w:r>
    </w:p>
    <w:p>
      <w:pPr>
        <w:numPr>
          <w:ilvl w:val="0"/>
          <w:numId w:val="3"/>
        </w:numPr>
        <w:spacing w:lineRule="auto"/>
      </w:pPr>
      <w:r>
        <w:rPr/>
        <w:t xml:space="preserve">Define all variables in table captions (e.g., “ΔAmbiguity”, “RV”) and specify units/frequencies.</w:t>
      </w:r>
    </w:p>
    <w:p>
      <w:pPr>
        <w:numPr>
          <w:ilvl w:val="0"/>
          <w:numId w:val="3"/>
        </w:numPr>
        <w:spacing w:lineRule="auto"/>
      </w:pPr>
      <w:r>
        <w:rPr/>
        <w:t xml:space="preserve">Increase figure/table font sizes and ensure captions state standard errors and lag choices (e.g., Newey–West 5-day) consistently.</w:t>
      </w:r>
    </w:p>
    <w:p>
      <w:pPr>
        <w:numPr>
          <w:ilvl w:val="0"/>
          <w:numId w:val="3"/>
        </w:numPr>
        <w:spacing w:lineRule="auto"/>
      </w:pPr>
      <w:r>
        <w:rPr/>
        <w:t xml:space="preserve">Ensure consistent notation for ambiguity and volatility betas across text, equations, and tables.</w:t>
      </w:r>
    </w:p>
    <w:p>
      <w:pPr>
        <w:numPr>
          <w:ilvl w:val="0"/>
          <w:numId w:val="3"/>
        </w:numPr>
        <w:spacing w:lineRule="auto"/>
      </w:pPr>
      <w:r>
        <w:rPr/>
        <w:t xml:space="preserve">Add a brief algorithmic summary of the ambiguity measure in Appendix A with inputs/outputs.</w:t>
      </w:r>
    </w:p>
    <w:p>
      <w:pPr>
        <w:numPr>
          <w:ilvl w:val="0"/>
          <w:numId w:val="3"/>
        </w:numPr>
        <w:spacing w:lineRule="auto"/>
      </w:pPr>
      <w:r>
        <w:rPr/>
        <w:t xml:space="preserve">Report instrument strength and overidentification tests where IV is used.</w:t>
      </w:r>
    </w:p>
    <w:p>
      <w:pPr>
        <w:numPr>
          <w:ilvl w:val="0"/>
          <w:numId w:val="3"/>
        </w:numPr>
        <w:spacing w:lineRule="auto"/>
      </w:pPr>
      <w:r>
        <w:rPr/>
        <w:t xml:space="preserve">Citations: include more up-to-date references and situate comparisons to contemporary uncertainty proxies (e.g., EPU and recent geopolitical uncertainty measures).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2025-12-05T04:10:15.297Z</dcterms:created>
  <dcterms:modified xsi:type="dcterms:W3CDTF">2025-12-05T04:10:15.297Z</dcterms:modified>
</cp:coreProperties>
</file>