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>
          <w:b/>
        </w:rPr>
        <w:t xml:space="preserve">Paper Title:</w:t>
      </w:r>
      <w:r>
        <w:rPr/>
        <w:t xml:space="preserve"> Global Geopolitical Risk, Ambiguity, and Emerging Market Returns: Evidence from China</w:t>
      </w:r>
    </w:p>
    <w:p>
      <w:pPr>
        <w:pStyle w:val="Heading3"/>
        <w:spacing w:lineRule="auto"/>
      </w:pPr>
      <w:r>
        <w:rPr/>
        <w:t xml:space="preserve">Summary</w:t>
      </w:r>
    </w:p>
    <w:p>
      <w:pPr>
        <w:numPr>
          <w:ilvl w:val="0"/>
          <w:numId w:val="1"/>
        </w:numPr>
        <w:spacing w:lineRule="auto"/>
      </w:pPr>
      <w:r>
        <w:rPr/>
        <w:t xml:space="preserve">The paper proposes a daily ambiguity measure built from a cross-entropy/KL framework to distinguish ambiguity from volatility in asset pricing.</w:t>
      </w:r>
    </w:p>
    <w:p>
      <w:pPr>
        <w:numPr>
          <w:ilvl w:val="0"/>
          <w:numId w:val="1"/>
        </w:numPr>
        <w:spacing w:lineRule="auto"/>
      </w:pPr>
      <w:r>
        <w:rPr/>
        <w:t xml:space="preserve">Using Chinese market data (CSI 300 and constituents), the study tests whether geopolitical risk increases ambiguity and whether ambiguity is negatively priced in returns.</w:t>
      </w:r>
    </w:p>
    <w:p>
      <w:pPr>
        <w:numPr>
          <w:ilvl w:val="0"/>
          <w:numId w:val="1"/>
        </w:numPr>
        <w:spacing w:lineRule="auto"/>
      </w:pPr>
      <w:r>
        <w:rPr/>
        <w:t xml:space="preserve">The empirical strategy includes time-series regressions, Fama–MacBeth cross-sectional models, mediation analysis to quantify the GPR→ambiguity→returns pathway, and SOE moderation.</w:t>
      </w:r>
    </w:p>
    <w:p>
      <w:pPr>
        <w:numPr>
          <w:ilvl w:val="0"/>
          <w:numId w:val="1"/>
        </w:numPr>
        <w:spacing w:lineRule="auto"/>
      </w:pPr>
      <w:r>
        <w:rPr/>
        <w:t xml:space="preserve">Results indicate significant effects of GPR on ambiguity, a negative ambiguity premium, and improved explanatory power when ambiguity is included alongside volatility.</w:t>
      </w:r>
    </w:p>
    <w:p>
      <w:pPr>
        <w:pStyle w:val="Heading3"/>
        <w:spacing w:lineRule="auto"/>
      </w:pPr>
      <w:r>
        <w:rPr/>
        <w:t xml:space="preserve">Major Comments</w:t>
      </w:r>
    </w:p>
    <w:p>
      <w:pPr>
        <w:numPr>
          <w:ilvl w:val="0"/>
          <w:numId w:val="2"/>
        </w:numPr>
        <w:spacing w:lineRule="auto"/>
      </w:pPr>
      <w:r>
        <w:rPr/>
        <w:t xml:space="preserve">Novelty relative to existing ambiguity proxies and smooth-ambiguity implementations is not fully articulated; clarify the methodological contribution by explicitly positioning the KL-based measure against variance-of-variance and forecast-dispersion proxies, and strengthen theoretical links in the text.</w:t>
      </w:r>
    </w:p>
    <w:p>
      <w:pPr>
        <w:numPr>
          <w:ilvl w:val="0"/>
          <w:numId w:val="2"/>
        </w:numPr>
        <w:spacing w:lineRule="auto"/>
      </w:pPr>
      <w:r>
        <w:rPr/>
        <w:t xml:space="preserve">Potential reverse causality from returns/volatility to ambiguity could bias interpretation; explain temporal ordering and design choices, and add a brief discussion of why reverse causality is unlikely under the adopted setup.</w:t>
      </w:r>
    </w:p>
    <w:p>
      <w:pPr>
        <w:numPr>
          <w:ilvl w:val="0"/>
          <w:numId w:val="2"/>
        </w:numPr>
        <w:spacing w:lineRule="auto"/>
      </w:pPr>
      <w:r>
        <w:rPr/>
        <w:t xml:space="preserve">The mediator–outcome treatment may be sensitive to omitted macro or micro controls; state the rationale for the selected control set, acknowledge limitations, and indicate how residual confounding is mitigated.</w:t>
      </w:r>
    </w:p>
    <w:p>
      <w:pPr>
        <w:numPr>
          <w:ilvl w:val="0"/>
          <w:numId w:val="2"/>
        </w:numPr>
        <w:spacing w:lineRule="auto"/>
      </w:pPr>
      <w:r>
        <w:rPr/>
        <w:t xml:space="preserve">Cross-sectional results may mask heterogeneity across industry or size/liquidity segments; provide interpretive context on where ambiguity effects are expected to be stronger or weaker, and note any observable patterns from descriptive statistics.</w:t>
      </w:r>
    </w:p>
    <w:p>
      <w:pPr>
        <w:numPr>
          <w:ilvl w:val="0"/>
          <w:numId w:val="2"/>
        </w:numPr>
        <w:spacing w:lineRule="auto"/>
      </w:pPr>
      <w:r>
        <w:rPr/>
        <w:t xml:space="preserve">The link between daily GPR and local-market ambiguity may face timing and coverage considerations; document source coverage, local-time conversions, and the handling of news windows, and include a short limitations paragraph.</w:t>
      </w:r>
    </w:p>
    <w:p>
      <w:pPr>
        <w:pStyle w:val="Heading3"/>
        <w:spacing w:lineRule="auto"/>
      </w:pPr>
      <w:r>
        <w:rPr/>
        <w:t xml:space="preserve">Minor Comments</w:t>
      </w:r>
    </w:p>
    <w:p>
      <w:pPr>
        <w:numPr>
          <w:ilvl w:val="0"/>
          <w:numId w:val="3"/>
        </w:numPr>
        <w:spacing w:lineRule="auto"/>
      </w:pPr>
      <w:r>
        <w:rPr/>
        <w:t xml:space="preserve">Add exact construction details for realized volatility (sampling interval, trading hours, microstructure filters).</w:t>
      </w:r>
    </w:p>
    <w:p>
      <w:pPr>
        <w:numPr>
          <w:ilvl w:val="0"/>
          <w:numId w:val="3"/>
        </w:numPr>
        <w:spacing w:lineRule="auto"/>
      </w:pPr>
      <w:r>
        <w:rPr/>
        <w:t xml:space="preserve">Provide a short data-quality section on survivorship, ST stocks, and winsorization thresholds.</w:t>
      </w:r>
    </w:p>
    <w:p>
      <w:pPr>
        <w:numPr>
          <w:ilvl w:val="0"/>
          <w:numId w:val="3"/>
        </w:numPr>
        <w:spacing w:lineRule="auto"/>
      </w:pPr>
      <w:r>
        <w:rPr/>
        <w:t xml:space="preserve">Standardize confidence-level markers across all tables.</w:t>
      </w:r>
    </w:p>
    <w:p>
      <w:pPr>
        <w:numPr>
          <w:ilvl w:val="0"/>
          <w:numId w:val="3"/>
        </w:numPr>
        <w:spacing w:lineRule="auto"/>
      </w:pPr>
      <w:r>
        <w:rPr/>
        <w:t xml:space="preserve">Include a brief intuition for the KL-minimization step.</w:t>
      </w:r>
    </w:p>
    <w:p>
      <w:pPr>
        <w:numPr>
          <w:ilvl w:val="0"/>
          <w:numId w:val="3"/>
        </w:numPr>
        <w:spacing w:lineRule="auto"/>
      </w:pPr>
      <w:r>
        <w:rPr/>
        <w:t xml:space="preserve">Verify consistency of local-time conversions between U.S.-based GPR and China trading calendars.</w:t>
      </w:r>
    </w:p>
    <w:p>
      <w:pPr>
        <w:numPr>
          <w:ilvl w:val="0"/>
          <w:numId w:val="3"/>
        </w:numPr>
        <w:spacing w:lineRule="auto"/>
      </w:pPr>
      <w:r>
        <w:rPr/>
        <w:t xml:space="preserve">Report average cross-section size and dispersion for ambiguity betas over time.</w:t>
      </w:r>
    </w:p>
    <w:p>
      <w:pPr>
        <w:numPr>
          <w:ilvl w:val="0"/>
          <w:numId w:val="3"/>
        </w:numPr>
        <w:spacing w:lineRule="auto"/>
      </w:pPr>
      <w:r>
        <w:rPr/>
        <w:t xml:space="preserve">Add references situating ambiguity in emerging-market contexts.</w:t>
      </w:r>
    </w:p>
    <w:p>
      <w:pPr>
        <w:pStyle w:val="Heading3"/>
        <w:spacing w:lineRule="auto"/>
      </w:pPr>
      <w:r>
        <w:rPr/>
        <w:t xml:space="preserve">Recommendation (Confidential to the Editor)</w:t>
      </w:r>
    </w:p>
    <w:p>
      <w:pPr>
        <w:numPr>
          <w:ilvl w:val="0"/>
          <w:numId w:val="4"/>
        </w:numPr>
        <w:spacing w:lineRule="auto"/>
      </w:pPr>
      <w:r>
        <w:rPr/>
        <w:t xml:space="preserve">Major Revisions.</w:t>
      </w:r>
    </w:p>
    <w:p>
      <w:pPr>
        <w:numPr>
          <w:ilvl w:val="0"/>
          <w:numId w:val="4"/>
        </w:numPr>
        <w:spacing w:lineRule="auto"/>
      </w:pPr>
      <w:r>
        <w:rPr/>
        <w:t xml:space="preserve">The empirical patterns are compelling and the measure is useful; targeted clarifications and robustness checks will improve clarity and credibility without requiring substantial redesign.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2025-12-05T04:10:15.297Z</dcterms:created>
  <dcterms:modified xsi:type="dcterms:W3CDTF">2025-12-05T04:10:15.297Z</dcterms:modified>
</cp:coreProperties>
</file>